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43" w:rsidRDefault="00D65E4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5E43" w:rsidRDefault="00D65E43">
      <w:pPr>
        <w:pStyle w:val="ConsPlusNormal"/>
        <w:outlineLvl w:val="0"/>
      </w:pPr>
    </w:p>
    <w:p w:rsidR="00D65E43" w:rsidRDefault="00D65E43">
      <w:pPr>
        <w:pStyle w:val="ConsPlusTitle"/>
        <w:jc w:val="center"/>
        <w:outlineLvl w:val="0"/>
      </w:pPr>
      <w:r>
        <w:t>АДМИНИСТРАЦИЯ БЕЛОЯРСКОГО РАЙОНА</w:t>
      </w:r>
    </w:p>
    <w:p w:rsidR="00D65E43" w:rsidRDefault="00D65E43">
      <w:pPr>
        <w:pStyle w:val="ConsPlusTitle"/>
        <w:jc w:val="center"/>
      </w:pPr>
    </w:p>
    <w:p w:rsidR="00D65E43" w:rsidRDefault="00D65E43">
      <w:pPr>
        <w:pStyle w:val="ConsPlusTitle"/>
        <w:jc w:val="center"/>
      </w:pPr>
      <w:r>
        <w:t>ПОСТАНОВЛЕНИЕ</w:t>
      </w:r>
    </w:p>
    <w:p w:rsidR="00D65E43" w:rsidRDefault="00D65E43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августа 2020 г. N 738</w:t>
      </w:r>
    </w:p>
    <w:p w:rsidR="00D65E43" w:rsidRDefault="00D65E43">
      <w:pPr>
        <w:pStyle w:val="ConsPlusTitle"/>
        <w:jc w:val="center"/>
      </w:pPr>
    </w:p>
    <w:p w:rsidR="00D65E43" w:rsidRDefault="00D65E43">
      <w:pPr>
        <w:pStyle w:val="ConsPlusTitle"/>
        <w:jc w:val="center"/>
      </w:pPr>
      <w:r>
        <w:t>ОБ УТВЕРЖДЕНИИ ПОРЯДКА ОЦЕНКИ НАЛОГОВЫХ РАСХОДОВ БЕЛОЯРСКОГО</w:t>
      </w:r>
    </w:p>
    <w:p w:rsidR="00D65E43" w:rsidRDefault="00D65E43">
      <w:pPr>
        <w:pStyle w:val="ConsPlusTitle"/>
        <w:jc w:val="center"/>
      </w:pPr>
      <w:r>
        <w:t>РАЙОНА И ПОСЕЛЕНИЙ В ГРАНИЦАХ БЕЛОЯРСКОГО РАЙОНА</w:t>
      </w:r>
    </w:p>
    <w:p w:rsidR="00D65E43" w:rsidRDefault="00D65E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43" w:rsidRDefault="00D65E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43" w:rsidRDefault="00D65E4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 от 08.06.2021 </w:t>
            </w:r>
            <w:hyperlink r:id="rId5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</w:p>
          <w:p w:rsidR="00D65E43" w:rsidRDefault="00D65E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20.03.2023 </w:t>
            </w:r>
            <w:hyperlink r:id="rId6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</w:tr>
    </w:tbl>
    <w:p w:rsidR="00D65E43" w:rsidRDefault="00D65E43">
      <w:pPr>
        <w:pStyle w:val="ConsPlusNormal"/>
        <w:jc w:val="center"/>
      </w:pPr>
    </w:p>
    <w:p w:rsidR="00D65E43" w:rsidRDefault="00D65E4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 статьи 174.3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образований", на основании соглашений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постановляю: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оценки налоговых расходов Белоярского района и поселений в границах Белоярского района.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28 мая 2010 года N 752 "Об утверждении Порядка оценки бюджетной, социальной и экономической эффективности предоставляемых (планируемых к предоставлению) налоговых льгот";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31 мая 2018 года N 459 "О внесении изменений в постановление администрации Белоярского района от 28 мая 2010 года N 752".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опубликования, но не ранее 1 января 2021 года.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20.03.2023 N 185)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Normal"/>
        <w:jc w:val="right"/>
      </w:pPr>
      <w:r>
        <w:t>Глава Белоярского района</w:t>
      </w:r>
    </w:p>
    <w:p w:rsidR="00D65E43" w:rsidRDefault="00D65E43">
      <w:pPr>
        <w:pStyle w:val="ConsPlusNormal"/>
        <w:jc w:val="right"/>
      </w:pPr>
      <w:r>
        <w:t>С.П.МАНЕНКОВ</w:t>
      </w: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  <w:jc w:val="right"/>
        <w:outlineLvl w:val="0"/>
      </w:pPr>
      <w:r>
        <w:t>Утвержден</w:t>
      </w:r>
    </w:p>
    <w:p w:rsidR="00D65E43" w:rsidRDefault="00D65E43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администрации</w:t>
      </w:r>
    </w:p>
    <w:p w:rsidR="00D65E43" w:rsidRDefault="00D65E43">
      <w:pPr>
        <w:pStyle w:val="ConsPlusNormal"/>
        <w:jc w:val="right"/>
      </w:pPr>
      <w:r>
        <w:lastRenderedPageBreak/>
        <w:t>Белоярского района</w:t>
      </w:r>
    </w:p>
    <w:p w:rsidR="00D65E43" w:rsidRDefault="00D65E43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августа 2020 года N 738</w:t>
      </w:r>
    </w:p>
    <w:p w:rsidR="00D65E43" w:rsidRDefault="00D65E43">
      <w:pPr>
        <w:pStyle w:val="ConsPlusNormal"/>
      </w:pPr>
    </w:p>
    <w:p w:rsidR="00D65E43" w:rsidRDefault="00D65E43">
      <w:pPr>
        <w:pStyle w:val="ConsPlusTitle"/>
        <w:jc w:val="center"/>
      </w:pPr>
      <w:bookmarkStart w:id="0" w:name="P34"/>
      <w:bookmarkEnd w:id="0"/>
      <w:r>
        <w:t>ПОРЯДОК</w:t>
      </w:r>
    </w:p>
    <w:p w:rsidR="00D65E43" w:rsidRDefault="00D65E43">
      <w:pPr>
        <w:pStyle w:val="ConsPlusTitle"/>
        <w:jc w:val="center"/>
      </w:pPr>
      <w:r>
        <w:t>ОЦЕНКИ НАЛОГОВЫХ РАСХОДОВ БЕЛОЯРСКОГО РАЙОНА И ПОСЕЛЕНИЙ</w:t>
      </w:r>
    </w:p>
    <w:p w:rsidR="00D65E43" w:rsidRDefault="00D65E43">
      <w:pPr>
        <w:pStyle w:val="ConsPlusTitle"/>
        <w:jc w:val="center"/>
      </w:pPr>
      <w:r>
        <w:t>В ГРАНИЦАХ БЕЛОЯРСКОГО РАЙОНА</w:t>
      </w:r>
    </w:p>
    <w:p w:rsidR="00D65E43" w:rsidRDefault="00D65E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43" w:rsidRDefault="00D65E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43" w:rsidRDefault="00D65E4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 от 08.06.2021 </w:t>
            </w:r>
            <w:hyperlink r:id="rId12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</w:p>
          <w:p w:rsidR="00D65E43" w:rsidRDefault="00D65E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20.03.2023 </w:t>
            </w:r>
            <w:hyperlink r:id="rId13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</w:tr>
    </w:tbl>
    <w:p w:rsidR="00D65E43" w:rsidRDefault="00D65E43">
      <w:pPr>
        <w:pStyle w:val="ConsPlusNormal"/>
      </w:pPr>
    </w:p>
    <w:p w:rsidR="00D65E43" w:rsidRDefault="00D65E43">
      <w:pPr>
        <w:pStyle w:val="ConsPlusTitle"/>
        <w:jc w:val="center"/>
        <w:outlineLvl w:val="1"/>
      </w:pPr>
      <w:r>
        <w:t>I. Общие положения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Normal"/>
        <w:ind w:firstLine="540"/>
        <w:jc w:val="both"/>
      </w:pPr>
      <w:r>
        <w:t>1. Порядок оценки налоговых расходов Белоярского района и поселений в границах Белоярского района (далее - Порядок) определяет процедуру проведения оценки эффективности предоставляемых (планируемых к предоставлению) налоговых расходов Белоярского района (далее - район) и поселений в границах Белоярского района (далее - поселения), правила формирования информации о нормативных, целевых и фискальных характеристиках налоговых расходов района (поселений), порядок обобщения результатов оценки эффективности налоговых расходов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2. Понятия, используемые в Порядке, соответствуют терминам и определениям, установленным общими </w:t>
      </w:r>
      <w:hyperlink r:id="rId14">
        <w:r>
          <w:rPr>
            <w:color w:val="0000FF"/>
          </w:rPr>
          <w:t>требованиями</w:t>
        </w:r>
      </w:hyperlink>
      <w: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Общие требования).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3. Оценка эффективности предоставляемых (планируемых к предоставлению) налоговых расходов района (поселений) осуществляется в отношении налоговых льгот, пониженных ставок и иных преференций, установленных нормативными правовыми актами представительных органов местного самоуправления района (поселений) по налогам и сборам со сроком действия более 2 лет для: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08.06.2021 N 477)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1) налогоплательщиков-организаций по земельному налогу;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2) индивидуальных предпринимателей, перешедших на единый налог на вмененный доход (для отдельных видов деятельности);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3) физических лиц, являющихся в соответствии с законодательством о налогах и сборах плательщиками налогов в бюджет района (поселений) и входящих в льготную категорию налогоплательщиков по земельному налогу, налогу на имущество физических лиц (далее - налогоплательщики - физические лица).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4. Оценка налоговых расходов района (поселений) направлена на оптимизацию перечня налоговых преференций, установленных нормативными правовыми актами представительных органов местного самоуправления района (поселений) по налогам и сборам, обеспечение оптимального выбора объектов для предоставления государственной (муниципальной) поддержки в виде данных налоговых преференций.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Результаты рассмотрения оценки налоговых расходов района (поселений) учитываются при формировании основных направлений бюджетной и налоговой политики района (поселений), а также при проведении оценки эффективности реализации муниципальных программ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lastRenderedPageBreak/>
        <w:t>5. В целях оценки налоговых расходов района (поселений) Комитет по финансам и налоговой политике администрации района (далее - уполномоченный орган):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1) формирует перечень налоговых расходов района (поселений);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2) обеспечивает сбор и формирование информации о нормативных, целевых и фискальных характеристиках налоговых расходов района (поселений), необходимой для проведения их оценки;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3) осуществляет обобщение результатов оценки эффективности налоговых расходов района (поселений), осуществляемой кураторами налоговых расходов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6. Кураторы налоговых расходов района (поселений):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1) формируют паспорта налоговых расходов района (поселений), содержащие информацию, предусмотренную </w:t>
      </w:r>
      <w:hyperlink w:anchor="P150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2) осуществляют оценку эффективности налоговых расходов района (поселений)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3) формулируют выводы о достижении целевых характеристик налогового расхода района (поселений), вкладе налогового расхода района (поселений) в достижение целей муниципальной программы района (поселений) и (или) целей социально-экономической политики района (поселений),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4) представляют в уполномоченный орган предложения о сохранении (уточнении, отмене) льгот для налогоплательщиков.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Title"/>
        <w:jc w:val="center"/>
        <w:outlineLvl w:val="1"/>
      </w:pPr>
      <w:r>
        <w:t>II. Правила формирования информации о нормативных, целевых</w:t>
      </w:r>
    </w:p>
    <w:p w:rsidR="00D65E43" w:rsidRDefault="00D65E43">
      <w:pPr>
        <w:pStyle w:val="ConsPlusTitle"/>
        <w:jc w:val="center"/>
      </w:pPr>
      <w:proofErr w:type="gramStart"/>
      <w:r>
        <w:t>и</w:t>
      </w:r>
      <w:proofErr w:type="gramEnd"/>
      <w:r>
        <w:t xml:space="preserve"> фискальных характеристиках налоговых расходов района</w:t>
      </w:r>
    </w:p>
    <w:p w:rsidR="00D65E43" w:rsidRDefault="00D65E43">
      <w:pPr>
        <w:pStyle w:val="ConsPlusTitle"/>
        <w:jc w:val="center"/>
      </w:pPr>
      <w:r>
        <w:t>(</w:t>
      </w:r>
      <w:proofErr w:type="gramStart"/>
      <w:r>
        <w:t>поселений</w:t>
      </w:r>
      <w:proofErr w:type="gramEnd"/>
      <w:r>
        <w:t>)</w:t>
      </w:r>
    </w:p>
    <w:p w:rsidR="00D65E43" w:rsidRDefault="00D65E43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</w:p>
    <w:p w:rsidR="00D65E43" w:rsidRDefault="00D65E43">
      <w:pPr>
        <w:pStyle w:val="ConsPlusNormal"/>
        <w:jc w:val="center"/>
      </w:pPr>
      <w:proofErr w:type="gramStart"/>
      <w:r>
        <w:t>от</w:t>
      </w:r>
      <w:proofErr w:type="gramEnd"/>
      <w:r>
        <w:t xml:space="preserve"> 08.06.2021 N 477)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Normal"/>
        <w:ind w:firstLine="540"/>
        <w:jc w:val="both"/>
      </w:pPr>
      <w:r>
        <w:t>7. Уполномоченный орган ежегодно осуществляет учет информации о налоговых льготах, освобождениях и иных преференциях, установленных нормативными правовыми актами представительных органов местного самоуправления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8. Информация о нормативных, целевых и фискальных характеристиках ежегодно формируется уполномоченным органом в отношении налоговых расходов, включенных в перечень налоговых расходов района (поселений) на очередной финансовый год, размещенный на официальном сайте органов местного самоуправления района (поселений) в информационно-телекоммуникационной сети "Интернет".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9. Формирование информации о налоговых расходах района (поселений) осуществляется уполномоченным органом в электронном виде (в формате электронной таблицы) в разрезе показателей, входящих в </w:t>
      </w:r>
      <w:hyperlink w:anchor="P150">
        <w:r>
          <w:rPr>
            <w:color w:val="0000FF"/>
          </w:rPr>
          <w:t>перечень</w:t>
        </w:r>
      </w:hyperlink>
      <w:r>
        <w:t xml:space="preserve"> информации, включаемый в паспорт налоговых расходов района (поселений), приведенный в приложении к настоящему Порядку.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10. Для сбора и учета информации о нормативных и целевых характеристиках налоговых расходов района (поселений) кураторы налоговых расходов района (поселений) представляют в электронном виде в уполномоченный орган информацию по </w:t>
      </w:r>
      <w:hyperlink w:anchor="P211">
        <w:r>
          <w:rPr>
            <w:color w:val="0000FF"/>
          </w:rPr>
          <w:t>пунктам 18</w:t>
        </w:r>
      </w:hyperlink>
      <w:r>
        <w:t xml:space="preserve">, </w:t>
      </w:r>
      <w:hyperlink w:anchor="P214">
        <w:r>
          <w:rPr>
            <w:color w:val="0000FF"/>
          </w:rPr>
          <w:t>19</w:t>
        </w:r>
      </w:hyperlink>
      <w:r>
        <w:t xml:space="preserve"> паспортов налоговых расходов района (поселений) ежегодно, до 15 июля года, следующего за отчетным.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lastRenderedPageBreak/>
        <w:t xml:space="preserve">11. Информацию по </w:t>
      </w:r>
      <w:hyperlink w:anchor="P218">
        <w:r>
          <w:rPr>
            <w:color w:val="0000FF"/>
          </w:rPr>
          <w:t>пунктам 20</w:t>
        </w:r>
      </w:hyperlink>
      <w:r>
        <w:t xml:space="preserve">, </w:t>
      </w:r>
      <w:hyperlink w:anchor="P224">
        <w:r>
          <w:rPr>
            <w:color w:val="0000FF"/>
          </w:rPr>
          <w:t>22</w:t>
        </w:r>
      </w:hyperlink>
      <w:r>
        <w:t xml:space="preserve"> - </w:t>
      </w:r>
      <w:hyperlink w:anchor="P233">
        <w:r>
          <w:rPr>
            <w:color w:val="0000FF"/>
          </w:rPr>
          <w:t>25</w:t>
        </w:r>
      </w:hyperlink>
      <w:r>
        <w:t xml:space="preserve"> паспортов налоговых расходов района (поселений) уполномоченный орган формирует на основании данных Межрайонной инспекции федеральной налоговой службы N 8 по Ханты-Мансийскому автономному округу - Югре (далее - налоговая инспекция), предоставленных в порядке, указанном в соглашении по информационному взаимодействию между налоговым органом и администрацией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12. Уполномоченный орган ежегодно, до 1 августа года, следующего за отчетным размещает информацию о нормативных, целевых и фискальных характеристиках налоговых расходов района (поселений), включенных в перечень налоговых расходов района (поселений) на официальном сайте органов местного самоуправления района (поселений) в информационно-телекоммуникационной сети "Интернет".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13. В целях проведения оценки эффективности налоговых расходов района (поселений), формат электронной таблицы доводится уполномоченным органом до кураторов налоговых расходов района (поселений) в течение 5 рабочих дней с даты размещения данной информации на официальном сайте органов местного самоуправления района (поселений) в информационно-телекоммуникационной сети "Интернет".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Title"/>
        <w:jc w:val="center"/>
        <w:outlineLvl w:val="1"/>
      </w:pPr>
      <w:r>
        <w:t>III. Оценка эффективности налоговых расходов района</w:t>
      </w:r>
    </w:p>
    <w:p w:rsidR="00D65E43" w:rsidRDefault="00D65E43">
      <w:pPr>
        <w:pStyle w:val="ConsPlusTitle"/>
        <w:jc w:val="center"/>
      </w:pPr>
      <w:r>
        <w:t>(</w:t>
      </w:r>
      <w:proofErr w:type="gramStart"/>
      <w:r>
        <w:t>поселений</w:t>
      </w:r>
      <w:proofErr w:type="gramEnd"/>
      <w:r>
        <w:t>)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Normal"/>
        <w:ind w:firstLine="540"/>
        <w:jc w:val="both"/>
      </w:pPr>
      <w:r>
        <w:t>14. Оценка эффективности налоговых расходов района (поселений) осуществляется кураторами налоговых расходов района (поселений) и включает: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1) оценку целесообразности налоговых расходов района (поселений);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2) оценку результативности налоговых расходов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15. Критериями целесообразности налоговых расходов района (поселений) являются: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1) соответствие налоговых расходов района (поселений) целям муниципальных программ района (поселений) и (или) целям социально-экономической политики района (поселений), не относящимся к муниципальным программам района (поселений);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20.03.2023 N 185)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16. Налоговый расход района (поселений) должен соответствовать минимум одной цели муниципальной программы района (поселений) и (или) цели социально-экономической политики района (поселений), не относящейся к муниципальным программам района (поселений).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20.03.2023 N 185)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Если налоговый расход района (поселений) носит разнородный характер, то есть соответствует нескольким целям муниципальных программ района (поселений) и (или) целям социально-экономической политики района (поселений), не относящимся к муниципальным программам района (поселений), в этом случае при проведении оценки целесообразности налогового расхода района (поселений) следует определить одну цель, которая в большей степени отражает цель предоставления налоговой льготы.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20.03.2023 N 185)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При оценке налоговых расходов района (поселений) следует учитывать, что налоговый расход должен оказывать прямое или косвенное влияние на достижение целей муниципальной программы района (поселений) и (или) целей социально-экономической политики района </w:t>
      </w:r>
      <w:r>
        <w:lastRenderedPageBreak/>
        <w:t>(поселений), не относящихся к муниципальным программам района (поселений).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20.03.2023 N 185)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Прямое влияние предполагает, что связь между налоговыми расходами и вышеуказанными целями должна быть понятной и однозначно воспринимаемой.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Косвенное (опосредованное) влияние должно сопровождаться описанием обоснования взаимосвязи между налоговым расходом района (поселений) и вышеуказанными целями.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17. Соответствие налогового расхода района (поселений) целям социально-экономической политики района (поселений), не относящимся к муниципальным программам района (поселений), может быть отражено в следующих документах: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района;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района;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3) программы комплексного развития систем коммунальной инфраструктуры поселений, программы комплексного развития транспортной инфраструктуры поселений, программы комплексного развития социальной инфраструктуры поселений.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При выборе документа стратегического планирования и его цели следует использовать цель, наиболее детально отражающую сущность налогового расхода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18. При определении показателя востребованности в случае, когда численность плательщиков, воспользовавшихся правом на налоговые льготы, составляет менее 1% от общей численности плательщиков соответствующего налога, рекомендуется количество плательщиков, воспользовавшихся правом на налоговые льготы, соотносить с количеством плательщиков, потенциально имеющих право на получение данной налоговой льготы.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Плательщики, потенциально имеющие право на получение налоговой льготы, определяются на основании положений, актов, статистических данных налоговой инспекции и иных сведений. Кроме того, количество потенциальных плательщиков может быть расчетным показателем, в связи с чем куратору налогового расхода района (поселений) при оценки налогового расхода требуется отразить порядок расчета указанного показателя.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В случае,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Пороговым значением для социальных и технических налоговых расходов района (поселений), при котором льгота считается востребованной, является наличие фактического количества плательщиков, воспользовавшихся налоговой льготой.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Для стимулирующих налоговых расходов района (поселений) пороговое значение уровня востребованности должно составлять не менее 0,3 процента.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Дополнительным (но не заменяющим) обоснованием востребованности налоговой льготы могут служить экспертные оценки.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При необходимости кураторами налоговых расходов района (поселений) могут быть установлены иные критерии целесообразности предоставления льгот для плательщиков.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В случае несоответствия налоговых расходов района (поселений) хотя бы одному из критериев целесообразности, куратору налогового расхода района (поселений) необходимо представить в уполномоченный орган предложения о сохранении (уточнении, отмене) льгот для </w:t>
      </w:r>
      <w:r>
        <w:lastRenderedPageBreak/>
        <w:t>плательщиков.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19. Оценка результативности налоговых расходов района (поселений) включает: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1) оценку бюджетной эффективности налоговых расходов района (поселений);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2) оценку вклада предусмотренного налогового расхода района (поселений) в изменение значения показателя (индикатора)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19.1. Оценку результативности налоговых расходов района (поселений) допускается не проводить в отношении технических налоговых расходов района (поселений).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19.1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20.03.2023 N 185)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20. В целях оценки бюджетной эффективности налоговых расходов района (поселений) осуществляются сравнительный анализ результативности предоставления налоговых расходов района (поселений) и результативности применения альтернативных механизмов достижения целей муниципальных программ района (поселений), и (или) целей социально-экономической политики района (поселений), не относящихся к муниципальным программам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21. Сравнительный анализ включает сопоставление объемов расходов бюджета района (поселений) в случае применения альтернативных механизмов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(поселений), и объемов предоставленных налоговых расходов района (поселений) (расчет прироста показателя (индикатора)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(поселений), на 1 рубль налоговых расходов района (поселений) и на 1 рубль расходов бюджета района (поселений) для достижения того же показателя (индикатора) в случае применения альтернативных механизмов).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22. В целях обеспечения репрезентативности полученного результата сравнительного анализа результативности предоставления льгот и результативности применения альтернативных механизмов (возможности их объективного сравнения) оценку бюджетной эффективности рекомендуется проводить с применением одного из следующих подходов:</w:t>
      </w:r>
    </w:p>
    <w:p w:rsidR="00D65E43" w:rsidRDefault="00D65E43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сопоставление объемов налогового расхода района (поселений) и расходов бюджета района (поселений) для достижения идентичного значения показателя (индикатора);</w:t>
      </w:r>
    </w:p>
    <w:p w:rsidR="00D65E43" w:rsidRDefault="00D65E4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сопоставление значений показателя (индикатора) при условии идентичных объемов налогового расхода района (поселений) и расходов бюджета района (поселений).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При сравнительном анализе необходимо также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этом, объем указанных расходов должен быть обоснован и не зависим от объема налогов (налоговых расходов района (поселений)).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23. В качестве альтернативных механизмов достижения целей муниципальной программы района (поселений) и (или) целей социально-экономической политики района (поселений), не относящихся к муниципальным программам, могут учитываться в том числе: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1) субсидии или иные формы непосредственной финансовой поддержки плательщиков, имеющих право на льготы, за счет бюджета района (поселений);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lastRenderedPageBreak/>
        <w:t>2) предоставление муниципальных гарантий по обязательствам плательщиков, имеющих право на льготы.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При сравнении инструмента налоговых расходов района (поселений) с инструментом предоставления муниципальных гарантий необходимо учитывать не только планируемый объем муниципальных гарантий (условные обязательства), но и ожидаемый объем бюджетных ассигнований на их исполнение (прямые обязательства). В качестве суммы для сопоставления рекомендуется использовать расчетный объем бюджетных ассигнований на исполнение муниципальных гарантий с учетом применения регрессного требования гаранта к принципалу. Сопоставительный расчет необходимо производить в одинаковых диапазонах периодов предоставления налоговых льгот и муниципальных гарантий;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Данный альтернативный механизм предполагает совершенствование организационных механизмов взаимодействия между представителями органов местного самоуправления с плательщиками, имеющими право на льготы.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24. Альтернативный механизм достижения целей муниципальной программы района (поселений) и (или) целей социально-экономической политики района (поселений), не относящихся к муниципальным программам района (поселений), может быть не предусмотрен действующими на момент проведения оценки эффективности налогового расхода муниципальными правовыми актами. Альтернативный механизм может рассматриваться как потенциальный инструмент регулирования, возможный к установлению на территории района (поселения) вместо льготы.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25. При определении альтернативных механизмов для налоговых расходов района (поселений) социальной целевой категории, в том числе при определении объема средств бюджета района (поселений) на их применение, целесообразно учитывать принцип адресности и (или) критерий нуждаемости.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26. Паспорта налоговых расходов района (поселений), результаты оценки эффективности налоговых расходов района (поселений) и рекомендации по результатам указанной оценки (далее - отчеты кураторов налоговых расходов) направляются кураторами налоговых расходов района (поселений) в уполномоченный орган ежегодно, до 25 августа года, следующего за отчетным.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08.06.2021 N 477)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Title"/>
        <w:jc w:val="center"/>
        <w:outlineLvl w:val="1"/>
      </w:pPr>
      <w:r>
        <w:t>IV. Порядок обобщения результатов оценки эффективности</w:t>
      </w:r>
    </w:p>
    <w:p w:rsidR="00D65E43" w:rsidRDefault="00D65E43">
      <w:pPr>
        <w:pStyle w:val="ConsPlusTitle"/>
        <w:jc w:val="center"/>
      </w:pPr>
      <w:proofErr w:type="gramStart"/>
      <w:r>
        <w:t>налоговых</w:t>
      </w:r>
      <w:proofErr w:type="gramEnd"/>
      <w:r>
        <w:t xml:space="preserve"> расходов района (поселений)</w:t>
      </w: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Normal"/>
        <w:ind w:firstLine="540"/>
        <w:jc w:val="both"/>
      </w:pPr>
      <w:r>
        <w:t>27. Уполномоченный орган рассматривает отчеты кураторов налоговых расходов ежегодно, до 1 сентября года, следующего за отчетным.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08.06.2021 N 477)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По результатам рассмотрения уполномоченный орган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В случае возвращения указанного отчета на доработку куратор налогового расхода района (поселений) в течение 5 рабочих дней, следующих за днем его возвращения, устраняет замечания и направляет его на повторное рассмотрение.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 xml:space="preserve">28. На основе согласованных отчетов кураторов налоговых расходов уполномоченный орган готовит сводный отчет об оценке эффективности предоставленных налоговых расходов района </w:t>
      </w:r>
      <w:r>
        <w:lastRenderedPageBreak/>
        <w:t>(поселений) за отчетный период (далее - Сводный отчет).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29. По результатам подготовки Сводного отчета уполномоченный орган готовит аналитическую записку об оценке эффективности предоставленных налоговых расходов района (поселений) за отчетный период (далее - Аналитическая записка).</w:t>
      </w:r>
    </w:p>
    <w:p w:rsidR="00D65E43" w:rsidRDefault="00D65E43">
      <w:pPr>
        <w:pStyle w:val="ConsPlusNormal"/>
        <w:spacing w:before="220"/>
        <w:ind w:firstLine="540"/>
        <w:jc w:val="both"/>
      </w:pPr>
      <w:r>
        <w:t>30. Уполномоченный орган размещает Аналитическую записку на официальном сайте органов местного самоуправления района (поселений) в информационно-телекоммуникационной сети "Интернет" в срок не позднее 1 октября года, следующего за отчетным.</w:t>
      </w:r>
    </w:p>
    <w:p w:rsidR="00D65E43" w:rsidRDefault="00D65E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08.06.2021 N 477)</w:t>
      </w: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</w:pPr>
    </w:p>
    <w:p w:rsidR="00D65E43" w:rsidRDefault="00D65E43">
      <w:pPr>
        <w:pStyle w:val="ConsPlusNormal"/>
        <w:jc w:val="right"/>
        <w:outlineLvl w:val="1"/>
      </w:pPr>
      <w:r>
        <w:t>Приложение</w:t>
      </w:r>
    </w:p>
    <w:p w:rsidR="00D65E43" w:rsidRDefault="00D65E4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оценки налоговых расходов</w:t>
      </w:r>
    </w:p>
    <w:p w:rsidR="00D65E43" w:rsidRDefault="00D65E43">
      <w:pPr>
        <w:pStyle w:val="ConsPlusNormal"/>
        <w:jc w:val="right"/>
      </w:pPr>
      <w:r>
        <w:t>Белоярского района и поселений</w:t>
      </w:r>
    </w:p>
    <w:p w:rsidR="00D65E43" w:rsidRDefault="00D65E43">
      <w:pPr>
        <w:pStyle w:val="ConsPlusNormal"/>
        <w:jc w:val="right"/>
      </w:pPr>
      <w:proofErr w:type="gramStart"/>
      <w:r>
        <w:t>в</w:t>
      </w:r>
      <w:proofErr w:type="gramEnd"/>
      <w:r>
        <w:t xml:space="preserve"> границах Белоярского района</w:t>
      </w:r>
    </w:p>
    <w:p w:rsidR="00D65E43" w:rsidRDefault="00D65E43">
      <w:pPr>
        <w:pStyle w:val="ConsPlusNormal"/>
      </w:pPr>
    </w:p>
    <w:p w:rsidR="00D65E43" w:rsidRDefault="00D65E43">
      <w:pPr>
        <w:pStyle w:val="ConsPlusTitle"/>
        <w:jc w:val="center"/>
      </w:pPr>
      <w:bookmarkStart w:id="1" w:name="P150"/>
      <w:bookmarkEnd w:id="1"/>
      <w:r>
        <w:t>ПЕРЕЧЕНЬ</w:t>
      </w:r>
    </w:p>
    <w:p w:rsidR="00D65E43" w:rsidRDefault="00D65E43">
      <w:pPr>
        <w:pStyle w:val="ConsPlusTitle"/>
        <w:jc w:val="center"/>
      </w:pPr>
      <w:r>
        <w:t>ИНФОРМАЦИИ, ВКЛЮЧАЕМОЙ В ПАСПОРТ НАЛОГОВОГО РАСХОДА</w:t>
      </w:r>
    </w:p>
    <w:p w:rsidR="00D65E43" w:rsidRDefault="00D65E43">
      <w:pPr>
        <w:pStyle w:val="ConsPlusTitle"/>
        <w:jc w:val="center"/>
      </w:pPr>
      <w:r>
        <w:t>БЕЛОЯРСКОГО РАЙОНА И ПОСЕЛЕНИЙ В ГРАНИЦАХ БЕЛОЯРСКОГО РАЙОНА</w:t>
      </w:r>
    </w:p>
    <w:p w:rsidR="00D65E43" w:rsidRDefault="00D65E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43" w:rsidRDefault="00D65E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43" w:rsidRDefault="00D65E4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20.03.2023 N 185)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43" w:rsidRDefault="00D65E43">
            <w:pPr>
              <w:pStyle w:val="ConsPlusNormal"/>
            </w:pPr>
          </w:p>
        </w:tc>
      </w:tr>
    </w:tbl>
    <w:p w:rsidR="00D65E43" w:rsidRDefault="00D65E4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350"/>
        <w:gridCol w:w="2098"/>
      </w:tblGrid>
      <w:tr w:rsidR="00D65E43">
        <w:tc>
          <w:tcPr>
            <w:tcW w:w="624" w:type="dxa"/>
          </w:tcPr>
          <w:p w:rsidR="00D65E43" w:rsidRDefault="00D65E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  <w:jc w:val="center"/>
            </w:pPr>
            <w:r>
              <w:t>Предоставляемая информация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D65E43">
        <w:tc>
          <w:tcPr>
            <w:tcW w:w="9072" w:type="dxa"/>
            <w:gridSpan w:val="3"/>
          </w:tcPr>
          <w:p w:rsidR="00D65E43" w:rsidRDefault="00D65E43">
            <w:pPr>
              <w:pStyle w:val="ConsPlusNormal"/>
              <w:outlineLvl w:val="2"/>
            </w:pPr>
            <w:r>
              <w:t>I. Нормативные характеристики налогового расхода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1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Нормативные правовые акты органов местного самоуправления района (поселений),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перечень</w:t>
            </w:r>
            <w:proofErr w:type="gramEnd"/>
            <w:r>
              <w:t xml:space="preserve"> налоговых расходов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2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r>
              <w:t>Комитет по финансам и налоговой политике администрации района (далее - уполномоченный орган)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3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перечень</w:t>
            </w:r>
            <w:proofErr w:type="gramEnd"/>
            <w:r>
              <w:t xml:space="preserve"> налоговых расходов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4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Даты вступления в силу нормативных правовых актов органов местного самоуправления района (поселений),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Даты начала действия предоставленных нормативными правовыми актами органов местного самоуправления района (поселений) права на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6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Период действия налоговых льгот, освобождений и иных преференций по налогам, предоставленным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7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Дата прекращения действия налоговых льгот, освобождений и иных преференций по налогам, установленная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9072" w:type="dxa"/>
            <w:gridSpan w:val="3"/>
          </w:tcPr>
          <w:p w:rsidR="00D65E43" w:rsidRDefault="00D65E43">
            <w:pPr>
              <w:pStyle w:val="ConsPlusNormal"/>
              <w:outlineLvl w:val="2"/>
            </w:pPr>
            <w:r>
              <w:t>II. Целевые характеристики налогового расхода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8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Наименование налоговых льгот, освобождений и иных преференций по налогам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9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Целевая категория налоговых расходов района (поселений)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10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перечень</w:t>
            </w:r>
            <w:proofErr w:type="gramEnd"/>
            <w:r>
              <w:t xml:space="preserve"> налоговых расходов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11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перечень</w:t>
            </w:r>
            <w:proofErr w:type="gramEnd"/>
            <w:r>
              <w:t xml:space="preserve"> налоговых расходов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12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13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14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Наименование муниципальной программы района (поселений), наименования нормативных правовых актов, определяющих цели социально-экономической политики района (поселений), не относящихся к муниципальным программам района (поселений),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перечень</w:t>
            </w:r>
            <w:proofErr w:type="gramEnd"/>
            <w:r>
              <w:t xml:space="preserve"> налоговых расходов</w:t>
            </w:r>
          </w:p>
        </w:tc>
      </w:tr>
      <w:tr w:rsidR="00D65E4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D65E43" w:rsidRDefault="00D65E43">
            <w:pPr>
              <w:pStyle w:val="ConsPlusNormal"/>
            </w:pPr>
            <w:r>
              <w:t>15</w:t>
            </w:r>
          </w:p>
        </w:tc>
        <w:tc>
          <w:tcPr>
            <w:tcW w:w="8448" w:type="dxa"/>
            <w:gridSpan w:val="2"/>
            <w:tcBorders>
              <w:bottom w:val="nil"/>
            </w:tcBorders>
          </w:tcPr>
          <w:p w:rsidR="00D65E43" w:rsidRDefault="00D65E43">
            <w:pPr>
              <w:pStyle w:val="ConsPlusNormal"/>
              <w:jc w:val="both"/>
            </w:pPr>
            <w:r>
              <w:t xml:space="preserve">Утратил силу. - 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Белоярского района от 20.03.2023 N 185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16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 xml:space="preserve">Показатели (индикаторы)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(поселений), в связи с </w:t>
            </w:r>
            <w:r>
              <w:lastRenderedPageBreak/>
              <w:t>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lastRenderedPageBreak/>
              <w:t>перечень</w:t>
            </w:r>
            <w:proofErr w:type="gramEnd"/>
            <w:r>
              <w:t xml:space="preserve"> налоговых расходов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 xml:space="preserve">Код вида экономической деятельности (по </w:t>
            </w:r>
            <w:hyperlink r:id="rId27">
              <w:r>
                <w:rPr>
                  <w:color w:val="0000FF"/>
                </w:rPr>
                <w:t>ОКВЭД</w:t>
              </w:r>
            </w:hyperlink>
            <w: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bookmarkStart w:id="2" w:name="P211"/>
            <w:bookmarkEnd w:id="2"/>
            <w:r>
              <w:t>18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Значения показателей (индикаторов) достижения целей государственных программ автономного округа и (или) целей социально-экономической политики автономного округа, не относящихся к государственным программам автономного округа,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куратор</w:t>
            </w:r>
            <w:proofErr w:type="gramEnd"/>
            <w:r>
              <w:t xml:space="preserve"> налогового расхода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bookmarkStart w:id="3" w:name="P214"/>
            <w:bookmarkEnd w:id="3"/>
            <w:r>
              <w:t>19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Прогнозные (оценочные) значения показателей (индикаторов) достижения целей государственных программ автономного округа и (или) целей социально-экономической политики автономного округа, не относящихся к государственным программам автономного округа,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куратор</w:t>
            </w:r>
            <w:proofErr w:type="gramEnd"/>
            <w:r>
              <w:t xml:space="preserve"> налогового расхода</w:t>
            </w:r>
          </w:p>
        </w:tc>
      </w:tr>
      <w:tr w:rsidR="00D65E43">
        <w:tc>
          <w:tcPr>
            <w:tcW w:w="9072" w:type="dxa"/>
            <w:gridSpan w:val="3"/>
          </w:tcPr>
          <w:p w:rsidR="00D65E43" w:rsidRDefault="00D65E43">
            <w:pPr>
              <w:pStyle w:val="ConsPlusNormal"/>
              <w:outlineLvl w:val="2"/>
            </w:pPr>
            <w:r>
              <w:t>III. Фискальные характеристики налогового расхода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bookmarkStart w:id="4" w:name="P218"/>
            <w:bookmarkEnd w:id="4"/>
            <w:r>
              <w:t>20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района (поселений) за отчетный финансовый год и за год, предшествующий отчетному году (тыс. рублей)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налоговая</w:t>
            </w:r>
            <w:proofErr w:type="gramEnd"/>
            <w:r>
              <w:t xml:space="preserve"> инспекция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21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Оценка объема налоговых льгот, освобождений и иных преференций для плательщиков налогов, предоставленных (планируемых к предоставлению), в соответствии с нормативными правовыми актами органов местного самоуправления района (поселений)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уполномоченный</w:t>
            </w:r>
            <w:proofErr w:type="gramEnd"/>
            <w:r>
              <w:t xml:space="preserve"> орган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bookmarkStart w:id="5" w:name="P224"/>
            <w:bookmarkEnd w:id="5"/>
            <w:r>
              <w:t>22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Общая численность плательщиков налогов в отчетном финансовому году (единиц)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налоговая</w:t>
            </w:r>
            <w:proofErr w:type="gramEnd"/>
            <w:r>
              <w:t xml:space="preserve"> инспекция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23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Численность плательщиков налогов, воспользовавшихся правом на получение налоговых льгот, освобождений и иных преференций, установленных нормативными правовыми актами органов местного самоуправления района (поселений) в отчетном финансовом году (единиц)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налоговая</w:t>
            </w:r>
            <w:proofErr w:type="gramEnd"/>
            <w:r>
              <w:t xml:space="preserve"> инспекция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r>
              <w:t>24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Базовый объем налогов, задекларированный для уплаты в бюджет района (поселений) плательщиками налогов, имеющими право на налоговые льготы, освобождения, иные преференции, установленные нормативными правовыми актами органов местного самоуправления района (поселений) (тыс. рублей)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налоговая</w:t>
            </w:r>
            <w:proofErr w:type="gramEnd"/>
            <w:r>
              <w:t xml:space="preserve"> инспекция</w:t>
            </w:r>
          </w:p>
        </w:tc>
      </w:tr>
      <w:tr w:rsidR="00D65E43">
        <w:tc>
          <w:tcPr>
            <w:tcW w:w="624" w:type="dxa"/>
          </w:tcPr>
          <w:p w:rsidR="00D65E43" w:rsidRDefault="00D65E43">
            <w:pPr>
              <w:pStyle w:val="ConsPlusNormal"/>
            </w:pPr>
            <w:bookmarkStart w:id="6" w:name="P233"/>
            <w:bookmarkEnd w:id="6"/>
            <w:r>
              <w:lastRenderedPageBreak/>
              <w:t>25</w:t>
            </w:r>
          </w:p>
        </w:tc>
        <w:tc>
          <w:tcPr>
            <w:tcW w:w="6350" w:type="dxa"/>
          </w:tcPr>
          <w:p w:rsidR="00D65E43" w:rsidRDefault="00D65E43">
            <w:pPr>
              <w:pStyle w:val="ConsPlusNormal"/>
            </w:pPr>
            <w:r>
              <w:t>Объем налогов, задекларированный для уплаты в бюджет района (поселений)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района (поселений), за 6 лет, предшествующих отчетному финансовому году (тыс. рублей)</w:t>
            </w:r>
          </w:p>
        </w:tc>
        <w:tc>
          <w:tcPr>
            <w:tcW w:w="2098" w:type="dxa"/>
          </w:tcPr>
          <w:p w:rsidR="00D65E43" w:rsidRDefault="00D65E43">
            <w:pPr>
              <w:pStyle w:val="ConsPlusNormal"/>
            </w:pPr>
            <w:proofErr w:type="gramStart"/>
            <w:r>
              <w:t>налоговая</w:t>
            </w:r>
            <w:proofErr w:type="gramEnd"/>
            <w:r>
              <w:t xml:space="preserve"> инспекция</w:t>
            </w:r>
          </w:p>
        </w:tc>
      </w:tr>
    </w:tbl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Normal"/>
        <w:ind w:firstLine="540"/>
        <w:jc w:val="both"/>
      </w:pPr>
    </w:p>
    <w:p w:rsidR="00D65E43" w:rsidRDefault="00D65E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D1D" w:rsidRDefault="00E83D1D">
      <w:bookmarkStart w:id="7" w:name="_GoBack"/>
      <w:bookmarkEnd w:id="7"/>
    </w:p>
    <w:sectPr w:rsidR="00E83D1D" w:rsidSect="005D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43"/>
    <w:rsid w:val="00D65E43"/>
    <w:rsid w:val="00E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FECE-D8AD-4652-9E16-7C93E9FF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5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5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01DEAC2583769090057A0A72BA69105DFC9C22ECAEC4250B2569912C5508937AC9149C273D2FEF56220A2E52C7CE43B74975F25B74851fBABK" TargetMode="External"/><Relationship Id="rId13" Type="http://schemas.openxmlformats.org/officeDocument/2006/relationships/hyperlink" Target="consultantplus://offline/ref=57D01DEAC2583769090049ADB147F19E07D793CD2DCBE2130CE550CE4D9556DC77EC971C8137DFFDF16974F3A77225B57A3F9A5A3EAB4856A6D00103f2A2K" TargetMode="External"/><Relationship Id="rId18" Type="http://schemas.openxmlformats.org/officeDocument/2006/relationships/hyperlink" Target="consultantplus://offline/ref=57D01DEAC2583769090049ADB147F19E07D793CD2DCBE2130CE550CE4D9556DC77EC971C8137DFFDF16974F2A07225B57A3F9A5A3EAB4856A6D00103f2A2K" TargetMode="External"/><Relationship Id="rId26" Type="http://schemas.openxmlformats.org/officeDocument/2006/relationships/hyperlink" Target="consultantplus://offline/ref=57D01DEAC2583769090049ADB147F19E07D793CD2DCBE2130CE550CE4D9556DC77EC971C8137DFFDF16974F2A57225B57A3F9A5A3EAB4856A6D00103f2A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D01DEAC2583769090049ADB147F19E07D793CD2DCBE2130CE550CE4D9556DC77EC971C8137DFFDF16974F2A37225B57A3F9A5A3EAB4856A6D00103f2A2K" TargetMode="External"/><Relationship Id="rId7" Type="http://schemas.openxmlformats.org/officeDocument/2006/relationships/hyperlink" Target="consultantplus://offline/ref=57D01DEAC2583769090057A0A72BA69105D8C9C727CDEC4250B2569912C5508937AC914CC575DBF7A53830A6AC7974FA3E6F89583BB7f4ABK" TargetMode="External"/><Relationship Id="rId12" Type="http://schemas.openxmlformats.org/officeDocument/2006/relationships/hyperlink" Target="consultantplus://offline/ref=57D01DEAC2583769090049ADB147F19E07D793CD2DCFE3100CE050CE4D9556DC77EC971C8137DFFDF16974F3A47225B57A3F9A5A3EAB4856A6D00103f2A2K" TargetMode="External"/><Relationship Id="rId17" Type="http://schemas.openxmlformats.org/officeDocument/2006/relationships/hyperlink" Target="consultantplus://offline/ref=57D01DEAC2583769090049ADB147F19E07D793CD2DCBE2130CE550CE4D9556DC77EC971C8137DFFDF16974F3A67225B57A3F9A5A3EAB4856A6D00103f2A2K" TargetMode="External"/><Relationship Id="rId25" Type="http://schemas.openxmlformats.org/officeDocument/2006/relationships/hyperlink" Target="consultantplus://offline/ref=57D01DEAC2583769090049ADB147F19E07D793CD2DCBE2130CE550CE4D9556DC77EC971C8137DFFDF16974F2A57225B57A3F9A5A3EAB4856A6D00103f2A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D01DEAC2583769090049ADB147F19E07D793CD2DCFE3100CE050CE4D9556DC77EC971C8137DFFDF16974F3A67225B57A3F9A5A3EAB4856A6D00103f2A2K" TargetMode="External"/><Relationship Id="rId20" Type="http://schemas.openxmlformats.org/officeDocument/2006/relationships/hyperlink" Target="consultantplus://offline/ref=57D01DEAC2583769090049ADB147F19E07D793CD2DCBE2130CE550CE4D9556DC77EC971C8137DFFDF16974F2A07225B57A3F9A5A3EAB4856A6D00103f2A2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01DEAC2583769090049ADB147F19E07D793CD2DCBE2130CE550CE4D9556DC77EC971C8137DFFDF16974F3A47225B57A3F9A5A3EAB4856A6D00103f2A2K" TargetMode="External"/><Relationship Id="rId11" Type="http://schemas.openxmlformats.org/officeDocument/2006/relationships/hyperlink" Target="consultantplus://offline/ref=57D01DEAC2583769090049ADB147F19E07D793CD2DCBE2130CE550CE4D9556DC77EC971C8137DFFDF16974F3A47225B57A3F9A5A3EAB4856A6D00103f2A2K" TargetMode="External"/><Relationship Id="rId24" Type="http://schemas.openxmlformats.org/officeDocument/2006/relationships/hyperlink" Target="consultantplus://offline/ref=57D01DEAC2583769090049ADB147F19E07D793CD2DCFE3100CE050CE4D9556DC77EC971C8137DFFDF16974F2A97225B57A3F9A5A3EAB4856A6D00103f2A2K" TargetMode="External"/><Relationship Id="rId5" Type="http://schemas.openxmlformats.org/officeDocument/2006/relationships/hyperlink" Target="consultantplus://offline/ref=57D01DEAC2583769090049ADB147F19E07D793CD2DCFE3100CE050CE4D9556DC77EC971C8137DFFDF16974F3A47225B57A3F9A5A3EAB4856A6D00103f2A2K" TargetMode="External"/><Relationship Id="rId15" Type="http://schemas.openxmlformats.org/officeDocument/2006/relationships/hyperlink" Target="consultantplus://offline/ref=57D01DEAC2583769090049ADB147F19E07D793CD2DCFE3100CE050CE4D9556DC77EC971C8137DFFDF16974F3A77225B57A3F9A5A3EAB4856A6D00103f2A2K" TargetMode="External"/><Relationship Id="rId23" Type="http://schemas.openxmlformats.org/officeDocument/2006/relationships/hyperlink" Target="consultantplus://offline/ref=57D01DEAC2583769090049ADB147F19E07D793CD2DCFE3100CE050CE4D9556DC77EC971C8137DFFDF16974F2A67225B57A3F9A5A3EAB4856A6D00103f2A2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D01DEAC2583769090049ADB147F19E07D793CD2ECBE21D09E450CE4D9556DC77EC971C933787F1F16C6AF3A46773E43Cf6A9K" TargetMode="External"/><Relationship Id="rId19" Type="http://schemas.openxmlformats.org/officeDocument/2006/relationships/hyperlink" Target="consultantplus://offline/ref=57D01DEAC2583769090049ADB147F19E07D793CD2DCBE2130CE550CE4D9556DC77EC971C8137DFFDF16974F2A07225B57A3F9A5A3EAB4856A6D00103f2A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D01DEAC2583769090049ADB147F19E07D793CD2AC5E0130AED0DC445CC5ADE70E3C8198626DFFCF47774F6BF7B71E6f3ADK" TargetMode="External"/><Relationship Id="rId14" Type="http://schemas.openxmlformats.org/officeDocument/2006/relationships/hyperlink" Target="consultantplus://offline/ref=57D01DEAC2583769090057A0A72BA69105DFC9C22ECAEC4250B2569912C5508937AC9149C273D2FCF86220A2E52C7CE43B74975F25B74851fBABK" TargetMode="External"/><Relationship Id="rId22" Type="http://schemas.openxmlformats.org/officeDocument/2006/relationships/hyperlink" Target="consultantplus://offline/ref=57D01DEAC2583769090049ADB147F19E07D793CD2DCFE3100CE050CE4D9556DC77EC971C8137DFFDF16974F2A77225B57A3F9A5A3EAB4856A6D00103f2A2K" TargetMode="External"/><Relationship Id="rId27" Type="http://schemas.openxmlformats.org/officeDocument/2006/relationships/hyperlink" Target="consultantplus://offline/ref=57D01DEAC2583769090057A0A72BA69105D8C9C526C8EC4250B2569912C5508925ACC945C276CCFCF47776F3A3f7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Алена Евгеньевна</dc:creator>
  <cp:keywords/>
  <dc:description/>
  <cp:lastModifiedBy>Григорьева Алена Евгеньевна</cp:lastModifiedBy>
  <cp:revision>1</cp:revision>
  <dcterms:created xsi:type="dcterms:W3CDTF">2023-05-05T10:00:00Z</dcterms:created>
  <dcterms:modified xsi:type="dcterms:W3CDTF">2023-05-05T10:00:00Z</dcterms:modified>
</cp:coreProperties>
</file>