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C" w:rsidRDefault="00123A61">
      <w:pPr>
        <w:pStyle w:val="Standard"/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119493" cy="533844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72CC" w:rsidRDefault="00123A61">
      <w:pPr>
        <w:spacing w:line="360" w:lineRule="auto"/>
        <w:ind w:firstLine="720"/>
        <w:jc w:val="both"/>
      </w:pPr>
      <w:r>
        <w:t xml:space="preserve">Доминирующими видами деятельности по количеству субъектов МСП стали  розничная и оптовая торговля (29,9%), </w:t>
      </w:r>
      <w:r>
        <w:rPr>
          <w:shd w:val="clear" w:color="auto" w:fill="FFFFFF"/>
        </w:rPr>
        <w:t>транспортные услуги</w:t>
      </w:r>
      <w:r>
        <w:t xml:space="preserve"> (16,9%),  бытовые услуги (14,7%), что говорит об </w:t>
      </w:r>
      <w:r>
        <w:t xml:space="preserve">активном развитии данных видов услуг, востребованными самим МСП  и населением. </w:t>
      </w:r>
    </w:p>
    <w:p w:rsidR="00D672CC" w:rsidRDefault="00123A61">
      <w:pPr>
        <w:spacing w:line="360" w:lineRule="auto"/>
        <w:ind w:firstLine="709"/>
        <w:jc w:val="both"/>
      </w:pPr>
      <w:r>
        <w:t>Неизменно развивающимися являются такие направления, как строительство и строительные работы (7,7%), производство (4,4%), социальные, к</w:t>
      </w:r>
      <w:r>
        <w:rPr>
          <w:szCs w:val="22"/>
        </w:rPr>
        <w:t>онсалтинговые, юридические услуги (3,4%)</w:t>
      </w:r>
      <w:r>
        <w:t>,</w:t>
      </w:r>
      <w:r>
        <w:t xml:space="preserve"> сельское хозяйство </w:t>
      </w:r>
      <w:r>
        <w:rPr>
          <w:szCs w:val="22"/>
        </w:rPr>
        <w:t>(3,2%)</w:t>
      </w:r>
      <w:r>
        <w:t xml:space="preserve">, общественное питание </w:t>
      </w:r>
      <w:r>
        <w:rPr>
          <w:szCs w:val="22"/>
        </w:rPr>
        <w:t>(3,2%)</w:t>
      </w:r>
      <w:r>
        <w:t>. С одной стороны, это иллюстрирует качественное изменение среды Белоярского района и  связано с расширением потребностей населения, предприятий поселений, с другой стороны – о результативности мер под</w:t>
      </w:r>
      <w:r>
        <w:t xml:space="preserve">держки данных направлений.  </w:t>
      </w:r>
    </w:p>
    <w:p w:rsidR="00D672CC" w:rsidRDefault="00123A61">
      <w:pPr>
        <w:spacing w:line="360" w:lineRule="auto"/>
        <w:ind w:firstLine="708"/>
        <w:jc w:val="both"/>
      </w:pPr>
      <w:r>
        <w:t>Основными видами деятельности юридических лиц по сельским поселениям Белоярского района является розничная и оптовая торговля (61,1%), рыболовство (16,7%), производство (11,1%), а среди индивидуальных предпринимателей розничная</w:t>
      </w:r>
      <w:r>
        <w:t xml:space="preserve"> и оптовая торговля (19,3%), оленеводство (16,7%), сельское хозяйство (12,7%).</w:t>
      </w:r>
    </w:p>
    <w:p w:rsidR="00D672CC" w:rsidRDefault="00123A61">
      <w:pPr>
        <w:spacing w:line="360" w:lineRule="auto"/>
        <w:ind w:firstLine="708"/>
        <w:jc w:val="both"/>
      </w:pPr>
      <w:r>
        <w:t xml:space="preserve">По городскому поселению Белоярский преобладающими видами деятельности </w:t>
      </w:r>
      <w:r>
        <w:lastRenderedPageBreak/>
        <w:t>юридических лиц являются розничная и оптовая торговля (27,3%), строительство и строительные работы (14,7%),</w:t>
      </w:r>
      <w:r>
        <w:t xml:space="preserve"> социальные, консалтинговые, юридические услуги (7 %), а среди индивидуальных предпринимателей розничная и оптовая торговля (31,8%), транспортные услуги (20,8%), бытовые услуги (17,6%).</w:t>
      </w:r>
    </w:p>
    <w:p w:rsidR="00D672CC" w:rsidRDefault="00123A61">
      <w:pPr>
        <w:spacing w:line="360" w:lineRule="auto"/>
        <w:ind w:hanging="142"/>
        <w:jc w:val="center"/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6439533" cy="7913373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72CC" w:rsidRDefault="00123A61">
      <w:pPr>
        <w:spacing w:line="360" w:lineRule="auto"/>
        <w:ind w:firstLine="708"/>
        <w:jc w:val="both"/>
      </w:pPr>
      <w:r>
        <w:t>Основными видами деятельности юридических лиц по сельским поселениям</w:t>
      </w:r>
      <w:r>
        <w:t xml:space="preserve"> </w:t>
      </w:r>
      <w:r>
        <w:lastRenderedPageBreak/>
        <w:t>Белоярского района является розничная и оптовая торговля (61,1%), рыболовство (16,7%), производство (11,1%), а среди индивидуальных предпринимателей розничная и оптовая торговля (19,3%), оленеводство (16,7%), сельское хозяйство (12,7%).</w:t>
      </w:r>
    </w:p>
    <w:p w:rsidR="00D672CC" w:rsidRDefault="00123A61">
      <w:pPr>
        <w:spacing w:line="360" w:lineRule="auto"/>
        <w:ind w:firstLine="708"/>
        <w:jc w:val="both"/>
      </w:pPr>
      <w:r>
        <w:t>По городскому посе</w:t>
      </w:r>
      <w:r>
        <w:t>лению Белоярский преобладающими видами деятельности юридических лиц являются розничная и оптовая торговля (27,3%), строительство и строительные работы (14,7%), социальные, консалтинговые, юридические услуги (7 %), а среди индивидуальных предпринимателей ро</w:t>
      </w:r>
      <w:r>
        <w:t>зничная и оптовая торговля (31,8%), транспортные услуги (20,8%), бытовые услуги (17,6%).</w:t>
      </w:r>
    </w:p>
    <w:p w:rsidR="00D672CC" w:rsidRDefault="00123A61">
      <w:pPr>
        <w:pStyle w:val="a5"/>
        <w:spacing w:before="0" w:after="0" w:line="360" w:lineRule="auto"/>
        <w:ind w:firstLine="709"/>
        <w:jc w:val="both"/>
      </w:pPr>
      <w:r>
        <w:t>Малый бизнес обеспечивает необходимую мобильность в условиях рынка, он способен не только быстро заполнять ниши, образующиеся в потребительской сфере, но и сравнительн</w:t>
      </w:r>
      <w:r>
        <w:t>о быстро окупаться. А также создавать атмосферу конкуренции и ту среду предпринимательства, без которой рыночная экономика невозможна.</w:t>
      </w:r>
    </w:p>
    <w:p w:rsidR="00D672CC" w:rsidRDefault="00123A61">
      <w:pPr>
        <w:pStyle w:val="ConsPlusTitle"/>
        <w:tabs>
          <w:tab w:val="left" w:pos="709"/>
          <w:tab w:val="left" w:pos="993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Общество постоянно меняется, вместе с ним меняются потребности людей и как следствие все новые виды бизнеса  завоевывают </w:t>
      </w:r>
      <w:r>
        <w:rPr>
          <w:b w:val="0"/>
        </w:rPr>
        <w:t>свое место на рынке услуг. Идея открыть свое дело имеет больше шансов на успех, если она сопряжена с пониманием тенденций и ощущением направления развития человеческих потребностей. В постоянно меняющемся мире перспективные виды бизнеса имеют шанс распрост</w:t>
      </w:r>
      <w:r>
        <w:rPr>
          <w:b w:val="0"/>
        </w:rPr>
        <w:t xml:space="preserve">ранится повсеместно и вырасти до уровня повседневных.  </w:t>
      </w:r>
    </w:p>
    <w:p w:rsidR="00D672CC" w:rsidRDefault="00123A61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населения Белоярского района приоритетными видами деятельности являются: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производство;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торговля;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 услуги;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общественного питания;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лесозаготовительная деятельность;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услуги;</w:t>
      </w:r>
    </w:p>
    <w:p w:rsidR="00D672CC" w:rsidRDefault="00123A61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оленеводство.</w:t>
      </w:r>
    </w:p>
    <w:p w:rsidR="00D672CC" w:rsidRDefault="00123A61">
      <w:pPr>
        <w:tabs>
          <w:tab w:val="left" w:pos="709"/>
          <w:tab w:val="left" w:pos="993"/>
          <w:tab w:val="left" w:pos="3300"/>
          <w:tab w:val="center" w:pos="4889"/>
        </w:tabs>
        <w:spacing w:line="360" w:lineRule="auto"/>
        <w:ind w:firstLine="709"/>
        <w:jc w:val="both"/>
      </w:pPr>
      <w:r>
        <w:t>Из значимых видов деятельности, осуществляющих субъектами МСП, являются перспективными строительство, производство, бытовые услуги, оленеводство, сельское хозяйство.</w:t>
      </w:r>
    </w:p>
    <w:sectPr w:rsidR="00D672C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61" w:rsidRDefault="00123A61">
      <w:r>
        <w:separator/>
      </w:r>
    </w:p>
  </w:endnote>
  <w:endnote w:type="continuationSeparator" w:id="0">
    <w:p w:rsidR="00123A61" w:rsidRDefault="001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61" w:rsidRDefault="00123A61">
      <w:r>
        <w:rPr>
          <w:color w:val="000000"/>
        </w:rPr>
        <w:separator/>
      </w:r>
    </w:p>
  </w:footnote>
  <w:footnote w:type="continuationSeparator" w:id="0">
    <w:p w:rsidR="00123A61" w:rsidRDefault="0012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7C95"/>
    <w:multiLevelType w:val="multilevel"/>
    <w:tmpl w:val="4A028C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672CC"/>
    <w:rsid w:val="00123A61"/>
    <w:rsid w:val="001972EA"/>
    <w:rsid w:val="00D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0299E-6040-46EE-BD59-5D42291C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Title">
    <w:name w:val="ConsPlusTitle"/>
    <w:pPr>
      <w:autoSpaceDE w:val="0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800" b="1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ru-RU" sz="18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Отраслевая структура малого и среднего предпринимательства </a:t>
            </a:r>
            <a:br>
              <a:rPr lang="ru-RU" sz="18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</a:br>
            <a:r>
              <a:rPr lang="ru-RU" sz="18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Белоярского района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5.559968592179583E-2"/>
          <c:y val="0.21731946287729853"/>
          <c:w val="0.42550243116466308"/>
          <c:h val="0.48770625153954"/>
        </c:manualLayout>
      </c:layout>
      <c:pieChart>
        <c:varyColors val="1"/>
        <c:ser>
          <c:idx val="0"/>
          <c:order val="0"/>
          <c:tx>
            <c:v>Ряд1</c:v>
          </c:tx>
          <c:explosion val="25"/>
          <c:dPt>
            <c:idx val="0"/>
            <c:bubble3D val="0"/>
            <c:spPr>
              <a:solidFill>
                <a:srgbClr val="40699C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9E413E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7F9A48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695185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3C8DA3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CC7B38"/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4F81BD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C0504D"/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rgbClr val="9BBB59"/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8064A2"/>
              </a:solidFill>
              <a:ln>
                <a:noFill/>
              </a:ln>
            </c:spPr>
          </c:dPt>
          <c:dPt>
            <c:idx val="10"/>
            <c:bubble3D val="0"/>
            <c:spPr>
              <a:solidFill>
                <a:srgbClr val="4BACC6"/>
              </a:solidFill>
              <a:ln>
                <a:noFill/>
              </a:ln>
            </c:spPr>
          </c:dPt>
          <c:dPt>
            <c:idx val="11"/>
            <c:bubble3D val="0"/>
            <c:spPr>
              <a:solidFill>
                <a:srgbClr val="F79646"/>
              </a:solidFill>
              <a:ln>
                <a:noFill/>
              </a:ln>
            </c:spPr>
          </c:dPt>
          <c:dPt>
            <c:idx val="12"/>
            <c:bubble3D val="0"/>
            <c:spPr>
              <a:solidFill>
                <a:srgbClr val="AABAD7"/>
              </a:solidFill>
              <a:ln>
                <a:noFill/>
              </a:ln>
            </c:spPr>
          </c:dPt>
          <c:dPt>
            <c:idx val="13"/>
            <c:bubble3D val="0"/>
            <c:spPr>
              <a:solidFill>
                <a:srgbClr val="D9AAA9"/>
              </a:solidFill>
              <a:ln>
                <a:noFill/>
              </a:ln>
            </c:spPr>
          </c:dPt>
          <c:dPt>
            <c:idx val="14"/>
            <c:bubble3D val="0"/>
            <c:spPr>
              <a:solidFill>
                <a:srgbClr val="C6D6AC"/>
              </a:solidFill>
              <a:ln>
                <a:noFill/>
              </a:ln>
            </c:spPr>
          </c:dPt>
          <c:dPt>
            <c:idx val="15"/>
            <c:bubble3D val="0"/>
            <c:spPr>
              <a:solidFill>
                <a:srgbClr val="BAB0C9"/>
              </a:solidFill>
              <a:ln>
                <a:noFill/>
              </a:ln>
            </c:spPr>
          </c:dPt>
          <c:dPt>
            <c:idx val="16"/>
            <c:bubble3D val="0"/>
            <c:spPr>
              <a:solidFill>
                <a:srgbClr val="A9CEDC"/>
              </a:solidFill>
              <a:ln>
                <a:noFill/>
              </a:ln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ea typeface=""/>
                    <a:cs typeface="Times New Roman" pitchFamily="18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17"/>
              <c:pt idx="0">
                <c:v>Розничная и оптовая торговля</c:v>
              </c:pt>
              <c:pt idx="1">
                <c:v>Бытовые услуги</c:v>
              </c:pt>
              <c:pt idx="2">
                <c:v>Строительство и строительные работы</c:v>
              </c:pt>
              <c:pt idx="3">
                <c:v>Производство</c:v>
              </c:pt>
              <c:pt idx="4">
                <c:v>Сельское хозяйство</c:v>
              </c:pt>
              <c:pt idx="5">
                <c:v>Рыболовство</c:v>
              </c:pt>
              <c:pt idx="6">
                <c:v>Оленеводство</c:v>
              </c:pt>
              <c:pt idx="7">
                <c:v>Транспортные услуги</c:v>
              </c:pt>
              <c:pt idx="8">
                <c:v>Общественное питание</c:v>
              </c:pt>
              <c:pt idx="9">
                <c:v>Лесоводство и лесозаготовительная деятельность</c:v>
              </c:pt>
              <c:pt idx="10">
                <c:v>Деятельность по организации спорта, культуры, отдыха и развлечений</c:v>
              </c:pt>
              <c:pt idx="11">
                <c:v>Деятельность по организации туризма</c:v>
              </c:pt>
              <c:pt idx="12">
                <c:v>Медицинская деятельность</c:v>
              </c:pt>
              <c:pt idx="13">
                <c:v>Образовательная деятельность</c:v>
              </c:pt>
              <c:pt idx="14">
                <c:v>Социальные, консалтинговые, юридические услуги</c:v>
              </c:pt>
              <c:pt idx="15">
                <c:v>Рекламная деятельность</c:v>
              </c:pt>
              <c:pt idx="16">
                <c:v>Прочие виды деятельности </c:v>
              </c:pt>
            </c:strLit>
          </c:cat>
          <c:val>
            <c:numLit>
              <c:formatCode>General</c:formatCode>
              <c:ptCount val="17"/>
              <c:pt idx="0">
                <c:v>29.9</c:v>
              </c:pt>
              <c:pt idx="1">
                <c:v>14.7</c:v>
              </c:pt>
              <c:pt idx="2">
                <c:v>7.7</c:v>
              </c:pt>
              <c:pt idx="3">
                <c:v>4.4000000000000004</c:v>
              </c:pt>
              <c:pt idx="4">
                <c:v>3.2</c:v>
              </c:pt>
              <c:pt idx="5">
                <c:v>1.3</c:v>
              </c:pt>
              <c:pt idx="6">
                <c:v>2.4</c:v>
              </c:pt>
              <c:pt idx="7">
                <c:v>16.899999999999999</c:v>
              </c:pt>
              <c:pt idx="8">
                <c:v>3.2</c:v>
              </c:pt>
              <c:pt idx="9">
                <c:v>0.30000000000000032</c:v>
              </c:pt>
              <c:pt idx="10">
                <c:v>1.6</c:v>
              </c:pt>
              <c:pt idx="11">
                <c:v>0.8</c:v>
              </c:pt>
              <c:pt idx="12">
                <c:v>0.60000000000000064</c:v>
              </c:pt>
              <c:pt idx="13">
                <c:v>1</c:v>
              </c:pt>
              <c:pt idx="14">
                <c:v>3.4</c:v>
              </c:pt>
              <c:pt idx="15">
                <c:v>0.4</c:v>
              </c:pt>
              <c:pt idx="16">
                <c:v>8.2000000000000011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51727977553703364"/>
          <c:y val="0.12041427794048641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0" i="0" u="none" strike="noStrike" kern="1200" baseline="0">
              <a:solidFill>
                <a:srgbClr val="000000"/>
              </a:solidFill>
              <a:latin typeface="Calibri"/>
              <a:ea typeface=""/>
              <a:cs typeface="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320" b="1" i="0" u="none" strike="noStrike" kern="1200" baseline="0">
                <a:solidFill>
                  <a:srgbClr val="000000"/>
                </a:solidFill>
                <a:latin typeface="Times New Roman" pitchFamily="18"/>
                <a:ea typeface=""/>
                <a:cs typeface="Times New Roman" pitchFamily="18"/>
              </a:defRPr>
            </a:pPr>
            <a:r>
              <a:rPr lang="ru-RU" sz="1320" b="1" i="0" u="none" strike="noStrike" kern="1200" cap="none" spc="0" baseline="0">
                <a:solidFill>
                  <a:srgbClr val="000000"/>
                </a:solidFill>
                <a:uFillTx/>
                <a:latin typeface="Times New Roman" pitchFamily="18"/>
                <a:ea typeface=""/>
                <a:cs typeface="Times New Roman" pitchFamily="18"/>
              </a:rPr>
              <a:t>Отраслевая структура малого и среднего предпринимательства по Белоярскому району (городскому и сельским поселениям)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4"/>
      <c:rotY val="19"/>
      <c:rAngAx val="1"/>
    </c:view3D>
    <c:floor>
      <c:thickness val="0"/>
      <c:spPr>
        <a:noFill/>
        <a:ln w="6345" cap="flat">
          <a:solidFill>
            <a:srgbClr val="898989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"/>
          <c:y val="5.8257607062477804E-2"/>
          <c:w val="0.99481593003221502"/>
          <c:h val="0.83125785853561762"/>
        </c:manualLayout>
      </c:layout>
      <c:bar3DChart>
        <c:barDir val="bar"/>
        <c:grouping val="clustered"/>
        <c:varyColors val="0"/>
        <c:ser>
          <c:idx val="0"/>
          <c:order val="0"/>
          <c:tx>
            <c:v>Юридические лица по сельским поселениям района</c:v>
          </c:tx>
          <c:spPr>
            <a:solidFill>
              <a:srgbClr val="5B9BD5"/>
            </a:solidFill>
            <a:ln>
              <a:noFill/>
            </a:ln>
          </c:spPr>
          <c:invertIfNegative val="0"/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6"/>
            <c:invertIfNegative val="0"/>
            <c:bubble3D val="0"/>
          </c:dPt>
          <c:dLbls>
            <c:dLbl>
              <c:idx val="4"/>
              <c:layout>
                <c:manualLayout>
                  <c:xMode val="edge"/>
                  <c:yMode val="edge"/>
                  <c:x val="0.49281834790866114"/>
                  <c:y val="0.65011783854413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50076503971171837"/>
                  <c:y val="0.60339248638696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49281834790866114"/>
                  <c:y val="0.5598771446299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49479054000017081"/>
                  <c:y val="0.24563908928812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7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ea typeface=""/>
                        <a:cs typeface="Times New Roman" pitchFamily="18"/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7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ea typeface=""/>
                    <a:cs typeface="Times New Roman" pitchFamily="18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17"/>
              <c:pt idx="0">
                <c:v>Розничная и оптовая торговля</c:v>
              </c:pt>
              <c:pt idx="1">
                <c:v>Бытовые услуги</c:v>
              </c:pt>
              <c:pt idx="2">
                <c:v>Строительство и строительные работы</c:v>
              </c:pt>
              <c:pt idx="3">
                <c:v>Производство</c:v>
              </c:pt>
              <c:pt idx="4">
                <c:v>Сельское хозяйство</c:v>
              </c:pt>
              <c:pt idx="5">
                <c:v>Рыболовство</c:v>
              </c:pt>
              <c:pt idx="6">
                <c:v>Оленеводство</c:v>
              </c:pt>
              <c:pt idx="7">
                <c:v>Транспортные услуги</c:v>
              </c:pt>
              <c:pt idx="8">
                <c:v>Общественное питание</c:v>
              </c:pt>
              <c:pt idx="9">
                <c:v>Лесоводство и лесозаготовительная деятельность</c:v>
              </c:pt>
              <c:pt idx="10">
                <c:v>Деятельность по организации спорта, культуры, отдыха и развлечений</c:v>
              </c:pt>
              <c:pt idx="11">
                <c:v>Деятельность по организации туризма</c:v>
              </c:pt>
              <c:pt idx="12">
                <c:v>Медицинская деятельность</c:v>
              </c:pt>
              <c:pt idx="13">
                <c:v>Образовательная деятельность</c:v>
              </c:pt>
              <c:pt idx="14">
                <c:v>Социальные, консалтинговые, юридические услуги</c:v>
              </c:pt>
              <c:pt idx="15">
                <c:v>Рекламная деятельность</c:v>
              </c:pt>
              <c:pt idx="16">
                <c:v>Прочие виды деятельности  </c:v>
              </c:pt>
            </c:strLit>
          </c:cat>
          <c:val>
            <c:numLit>
              <c:formatCode>General</c:formatCode>
              <c:ptCount val="17"/>
              <c:pt idx="0">
                <c:v>11</c:v>
              </c:pt>
              <c:pt idx="1">
                <c:v>0</c:v>
              </c:pt>
              <c:pt idx="2">
                <c:v>0</c:v>
              </c:pt>
              <c:pt idx="3">
                <c:v>2</c:v>
              </c:pt>
              <c:pt idx="4">
                <c:v>0</c:v>
              </c:pt>
              <c:pt idx="5">
                <c:v>3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1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1</c:v>
              </c:pt>
            </c:numLit>
          </c:val>
        </c:ser>
        <c:ser>
          <c:idx val="1"/>
          <c:order val="1"/>
          <c:tx>
            <c:v>Юридические лица по г. Белоярский </c:v>
          </c:tx>
          <c:spPr>
            <a:solidFill>
              <a:srgbClr val="ED7D31"/>
            </a:solidFill>
            <a:ln>
              <a:noFill/>
            </a:ln>
          </c:spPr>
          <c:invertIfNegative val="0"/>
          <c:dPt>
            <c:idx val="16"/>
            <c:invertIfNegative val="0"/>
            <c:bubble3D val="0"/>
          </c:dPt>
          <c:dLbls>
            <c:dLbl>
              <c:idx val="16"/>
              <c:tx>
                <c:rich>
                  <a:bodyPr/>
                  <a:lstStyle/>
                  <a:p>
                    <a:r>
                      <a:rPr lang="en-US" sz="7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ea typeface=""/>
                        <a:cs typeface="Times New Roman" pitchFamily="18"/>
                      </a:rPr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7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ea typeface=""/>
                    <a:cs typeface="Times New Roman" pitchFamily="18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17"/>
              <c:pt idx="0">
                <c:v>Розничная и оптовая торговля</c:v>
              </c:pt>
              <c:pt idx="1">
                <c:v>Бытовые услуги</c:v>
              </c:pt>
              <c:pt idx="2">
                <c:v>Строительство и строительные работы</c:v>
              </c:pt>
              <c:pt idx="3">
                <c:v>Производство</c:v>
              </c:pt>
              <c:pt idx="4">
                <c:v>Сельское хозяйство</c:v>
              </c:pt>
              <c:pt idx="5">
                <c:v>Рыболовство</c:v>
              </c:pt>
              <c:pt idx="6">
                <c:v>Оленеводство</c:v>
              </c:pt>
              <c:pt idx="7">
                <c:v>Транспортные услуги</c:v>
              </c:pt>
              <c:pt idx="8">
                <c:v>Общественное питание</c:v>
              </c:pt>
              <c:pt idx="9">
                <c:v>Лесоводство и лесозаготовительная деятельность</c:v>
              </c:pt>
              <c:pt idx="10">
                <c:v>Деятельность по организации спорта, культуры, отдыха и развлечений</c:v>
              </c:pt>
              <c:pt idx="11">
                <c:v>Деятельность по организации туризма</c:v>
              </c:pt>
              <c:pt idx="12">
                <c:v>Медицинская деятельность</c:v>
              </c:pt>
              <c:pt idx="13">
                <c:v>Образовательная деятельность</c:v>
              </c:pt>
              <c:pt idx="14">
                <c:v>Социальные, консалтинговые, юридические услуги</c:v>
              </c:pt>
              <c:pt idx="15">
                <c:v>Рекламная деятельность</c:v>
              </c:pt>
              <c:pt idx="16">
                <c:v>Прочие виды деятельности  </c:v>
              </c:pt>
            </c:strLit>
          </c:cat>
          <c:val>
            <c:numLit>
              <c:formatCode>General</c:formatCode>
              <c:ptCount val="17"/>
              <c:pt idx="0">
                <c:v>39</c:v>
              </c:pt>
              <c:pt idx="1">
                <c:v>6</c:v>
              </c:pt>
              <c:pt idx="2">
                <c:v>21</c:v>
              </c:pt>
              <c:pt idx="3">
                <c:v>8</c:v>
              </c:pt>
              <c:pt idx="4">
                <c:v>2</c:v>
              </c:pt>
              <c:pt idx="5">
                <c:v>1</c:v>
              </c:pt>
              <c:pt idx="6">
                <c:v>0</c:v>
              </c:pt>
              <c:pt idx="7">
                <c:v>6</c:v>
              </c:pt>
              <c:pt idx="8">
                <c:v>8</c:v>
              </c:pt>
              <c:pt idx="9">
                <c:v>0</c:v>
              </c:pt>
              <c:pt idx="10">
                <c:v>0</c:v>
              </c:pt>
              <c:pt idx="11">
                <c:v>1</c:v>
              </c:pt>
              <c:pt idx="12">
                <c:v>6</c:v>
              </c:pt>
              <c:pt idx="13">
                <c:v>0</c:v>
              </c:pt>
              <c:pt idx="14">
                <c:v>10</c:v>
              </c:pt>
              <c:pt idx="15">
                <c:v>2</c:v>
              </c:pt>
              <c:pt idx="16">
                <c:v>33</c:v>
              </c:pt>
            </c:numLit>
          </c:val>
        </c:ser>
        <c:ser>
          <c:idx val="2"/>
          <c:order val="2"/>
          <c:tx>
            <c:v>ИП по сельским поселениям района</c:v>
          </c:tx>
          <c:spPr>
            <a:solidFill>
              <a:srgbClr val="A5A5A5"/>
            </a:solidFill>
            <a:ln>
              <a:noFill/>
            </a:ln>
          </c:spPr>
          <c:invertIfNegative val="0"/>
          <c:dPt>
            <c:idx val="4"/>
            <c:invertIfNegative val="0"/>
            <c:bubble3D val="0"/>
          </c:dPt>
          <c:dLbls>
            <c:dLbl>
              <c:idx val="4"/>
              <c:layout>
                <c:manualLayout>
                  <c:xMode val="edge"/>
                  <c:yMode val="edge"/>
                  <c:x val="0.51816909140178602"/>
                  <c:y val="0.636028518823206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7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ea typeface=""/>
                    <a:cs typeface="Times New Roman" pitchFamily="18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17"/>
              <c:pt idx="0">
                <c:v>Розничная и оптовая торговля</c:v>
              </c:pt>
              <c:pt idx="1">
                <c:v>Бытовые услуги</c:v>
              </c:pt>
              <c:pt idx="2">
                <c:v>Строительство и строительные работы</c:v>
              </c:pt>
              <c:pt idx="3">
                <c:v>Производство</c:v>
              </c:pt>
              <c:pt idx="4">
                <c:v>Сельское хозяйство</c:v>
              </c:pt>
              <c:pt idx="5">
                <c:v>Рыболовство</c:v>
              </c:pt>
              <c:pt idx="6">
                <c:v>Оленеводство</c:v>
              </c:pt>
              <c:pt idx="7">
                <c:v>Транспортные услуги</c:v>
              </c:pt>
              <c:pt idx="8">
                <c:v>Общественное питание</c:v>
              </c:pt>
              <c:pt idx="9">
                <c:v>Лесоводство и лесозаготовительная деятельность</c:v>
              </c:pt>
              <c:pt idx="10">
                <c:v>Деятельность по организации спорта, культуры, отдыха и развлечений</c:v>
              </c:pt>
              <c:pt idx="11">
                <c:v>Деятельность по организации туризма</c:v>
              </c:pt>
              <c:pt idx="12">
                <c:v>Медицинская деятельность</c:v>
              </c:pt>
              <c:pt idx="13">
                <c:v>Образовательная деятельность</c:v>
              </c:pt>
              <c:pt idx="14">
                <c:v>Социальные, консалтинговые, юридические услуги</c:v>
              </c:pt>
              <c:pt idx="15">
                <c:v>Рекламная деятельность</c:v>
              </c:pt>
              <c:pt idx="16">
                <c:v>Прочие виды деятельности  </c:v>
              </c:pt>
            </c:strLit>
          </c:cat>
          <c:val>
            <c:numLit>
              <c:formatCode>General</c:formatCode>
              <c:ptCount val="17"/>
              <c:pt idx="0">
                <c:v>29</c:v>
              </c:pt>
              <c:pt idx="1">
                <c:v>18</c:v>
              </c:pt>
              <c:pt idx="2">
                <c:v>7</c:v>
              </c:pt>
              <c:pt idx="3">
                <c:v>11</c:v>
              </c:pt>
              <c:pt idx="4">
                <c:v>19</c:v>
              </c:pt>
              <c:pt idx="5">
                <c:v>7</c:v>
              </c:pt>
              <c:pt idx="6">
                <c:v>25</c:v>
              </c:pt>
              <c:pt idx="7">
                <c:v>16</c:v>
              </c:pt>
              <c:pt idx="8">
                <c:v>6</c:v>
              </c:pt>
              <c:pt idx="9">
                <c:v>1</c:v>
              </c:pt>
              <c:pt idx="10">
                <c:v>2</c:v>
              </c:pt>
              <c:pt idx="11">
                <c:v>1</c:v>
              </c:pt>
              <c:pt idx="12">
                <c:v>0</c:v>
              </c:pt>
              <c:pt idx="13">
                <c:v>1</c:v>
              </c:pt>
              <c:pt idx="14">
                <c:v>2</c:v>
              </c:pt>
              <c:pt idx="15">
                <c:v>0</c:v>
              </c:pt>
              <c:pt idx="16">
                <c:v>5</c:v>
              </c:pt>
            </c:numLit>
          </c:val>
        </c:ser>
        <c:ser>
          <c:idx val="3"/>
          <c:order val="3"/>
          <c:tx>
            <c:v>ИП по г. Белоярский </c:v>
          </c:tx>
          <c:spPr>
            <a:solidFill>
              <a:srgbClr val="FFC000"/>
            </a:solidFill>
            <a:ln>
              <a:noFill/>
            </a:ln>
          </c:spPr>
          <c:invertIfNegative val="0"/>
          <c:dPt>
            <c:idx val="13"/>
            <c:invertIfNegative val="0"/>
            <c:bubble3D val="0"/>
          </c:dPt>
          <c:dLbls>
            <c:dLbl>
              <c:idx val="13"/>
              <c:layout>
                <c:manualLayout>
                  <c:xMode val="edge"/>
                  <c:yMode val="edge"/>
                  <c:x val="0.50616092621594577"/>
                  <c:y val="0.220493165364440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7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ea typeface=""/>
                    <a:cs typeface="Times New Roman" pitchFamily="18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17"/>
              <c:pt idx="0">
                <c:v>Розничная и оптовая торговля</c:v>
              </c:pt>
              <c:pt idx="1">
                <c:v>Бытовые услуги</c:v>
              </c:pt>
              <c:pt idx="2">
                <c:v>Строительство и строительные работы</c:v>
              </c:pt>
              <c:pt idx="3">
                <c:v>Производство</c:v>
              </c:pt>
              <c:pt idx="4">
                <c:v>Сельское хозяйство</c:v>
              </c:pt>
              <c:pt idx="5">
                <c:v>Рыболовство</c:v>
              </c:pt>
              <c:pt idx="6">
                <c:v>Оленеводство</c:v>
              </c:pt>
              <c:pt idx="7">
                <c:v>Транспортные услуги</c:v>
              </c:pt>
              <c:pt idx="8">
                <c:v>Общественное питание</c:v>
              </c:pt>
              <c:pt idx="9">
                <c:v>Лесоводство и лесозаготовительная деятельность</c:v>
              </c:pt>
              <c:pt idx="10">
                <c:v>Деятельность по организации спорта, культуры, отдыха и развлечений</c:v>
              </c:pt>
              <c:pt idx="11">
                <c:v>Деятельность по организации туризма</c:v>
              </c:pt>
              <c:pt idx="12">
                <c:v>Медицинская деятельность</c:v>
              </c:pt>
              <c:pt idx="13">
                <c:v>Образовательная деятельность</c:v>
              </c:pt>
              <c:pt idx="14">
                <c:v>Социальные, консалтинговые, юридические услуги</c:v>
              </c:pt>
              <c:pt idx="15">
                <c:v>Рекламная деятельность</c:v>
              </c:pt>
              <c:pt idx="16">
                <c:v>Прочие виды деятельности  </c:v>
              </c:pt>
            </c:strLit>
          </c:cat>
          <c:val>
            <c:numLit>
              <c:formatCode>General</c:formatCode>
              <c:ptCount val="17"/>
              <c:pt idx="0">
                <c:v>244</c:v>
              </c:pt>
              <c:pt idx="1">
                <c:v>135</c:v>
              </c:pt>
              <c:pt idx="2">
                <c:v>55</c:v>
              </c:pt>
              <c:pt idx="3">
                <c:v>26</c:v>
              </c:pt>
              <c:pt idx="4">
                <c:v>13</c:v>
              </c:pt>
              <c:pt idx="5">
                <c:v>3</c:v>
              </c:pt>
              <c:pt idx="6">
                <c:v>1</c:v>
              </c:pt>
              <c:pt idx="7">
                <c:v>160</c:v>
              </c:pt>
              <c:pt idx="8">
                <c:v>20</c:v>
              </c:pt>
              <c:pt idx="9">
                <c:v>2</c:v>
              </c:pt>
              <c:pt idx="10">
                <c:v>15</c:v>
              </c:pt>
              <c:pt idx="11">
                <c:v>6</c:v>
              </c:pt>
              <c:pt idx="12">
                <c:v>1</c:v>
              </c:pt>
              <c:pt idx="13">
                <c:v>10</c:v>
              </c:pt>
              <c:pt idx="14">
                <c:v>25</c:v>
              </c:pt>
              <c:pt idx="15">
                <c:v>2</c:v>
              </c:pt>
              <c:pt idx="16">
                <c:v>50</c:v>
              </c:pt>
            </c:numLit>
          </c:val>
        </c:ser>
        <c:ser>
          <c:idx val="4"/>
          <c:order val="4"/>
          <c:tx>
            <c:v>Итого субъектов МСП по району</c:v>
          </c:tx>
          <c:spPr>
            <a:solidFill>
              <a:srgbClr val="4472C4"/>
            </a:solidFill>
            <a:ln>
              <a:noFill/>
            </a:ln>
          </c:spPr>
          <c:invertIfNegative val="0"/>
          <c:dPt>
            <c:idx val="16"/>
            <c:invertIfNegative val="0"/>
            <c:bubble3D val="0"/>
          </c:dPt>
          <c:dLbls>
            <c:dLbl>
              <c:idx val="16"/>
              <c:layout>
                <c:manualLayout>
                  <c:xMode val="edge"/>
                  <c:yMode val="edge"/>
                  <c:x val="0.61156698426206235"/>
                  <c:y val="7.4075393921932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7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ea typeface=""/>
                    <a:cs typeface="Times New Roman" pitchFamily="18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17"/>
              <c:pt idx="0">
                <c:v>Розничная и оптовая торговля</c:v>
              </c:pt>
              <c:pt idx="1">
                <c:v>Бытовые услуги</c:v>
              </c:pt>
              <c:pt idx="2">
                <c:v>Строительство и строительные работы</c:v>
              </c:pt>
              <c:pt idx="3">
                <c:v>Производство</c:v>
              </c:pt>
              <c:pt idx="4">
                <c:v>Сельское хозяйство</c:v>
              </c:pt>
              <c:pt idx="5">
                <c:v>Рыболовство</c:v>
              </c:pt>
              <c:pt idx="6">
                <c:v>Оленеводство</c:v>
              </c:pt>
              <c:pt idx="7">
                <c:v>Транспортные услуги</c:v>
              </c:pt>
              <c:pt idx="8">
                <c:v>Общественное питание</c:v>
              </c:pt>
              <c:pt idx="9">
                <c:v>Лесоводство и лесозаготовительная деятельность</c:v>
              </c:pt>
              <c:pt idx="10">
                <c:v>Деятельность по организации спорта, культуры, отдыха и развлечений</c:v>
              </c:pt>
              <c:pt idx="11">
                <c:v>Деятельность по организации туризма</c:v>
              </c:pt>
              <c:pt idx="12">
                <c:v>Медицинская деятельность</c:v>
              </c:pt>
              <c:pt idx="13">
                <c:v>Образовательная деятельность</c:v>
              </c:pt>
              <c:pt idx="14">
                <c:v>Социальные, консалтинговые, юридические услуги</c:v>
              </c:pt>
              <c:pt idx="15">
                <c:v>Рекламная деятельность</c:v>
              </c:pt>
              <c:pt idx="16">
                <c:v>Прочие виды деятельности  </c:v>
              </c:pt>
            </c:strLit>
          </c:cat>
          <c:val>
            <c:numLit>
              <c:formatCode>General</c:formatCode>
              <c:ptCount val="17"/>
              <c:pt idx="0">
                <c:v>323</c:v>
              </c:pt>
              <c:pt idx="1">
                <c:v>159</c:v>
              </c:pt>
              <c:pt idx="2">
                <c:v>83</c:v>
              </c:pt>
              <c:pt idx="3">
                <c:v>47</c:v>
              </c:pt>
              <c:pt idx="4">
                <c:v>34</c:v>
              </c:pt>
              <c:pt idx="5">
                <c:v>14</c:v>
              </c:pt>
              <c:pt idx="6">
                <c:v>26</c:v>
              </c:pt>
              <c:pt idx="7">
                <c:v>182</c:v>
              </c:pt>
              <c:pt idx="8">
                <c:v>34</c:v>
              </c:pt>
              <c:pt idx="9">
                <c:v>3</c:v>
              </c:pt>
              <c:pt idx="10">
                <c:v>17</c:v>
              </c:pt>
              <c:pt idx="11">
                <c:v>9</c:v>
              </c:pt>
              <c:pt idx="12">
                <c:v>7</c:v>
              </c:pt>
              <c:pt idx="13">
                <c:v>11</c:v>
              </c:pt>
              <c:pt idx="14">
                <c:v>37</c:v>
              </c:pt>
              <c:pt idx="15">
                <c:v>4</c:v>
              </c:pt>
              <c:pt idx="16">
                <c:v>89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26456512"/>
        <c:axId val="326455952"/>
        <c:axId val="0"/>
      </c:bar3DChart>
      <c:valAx>
        <c:axId val="326455952"/>
        <c:scaling>
          <c:orientation val="minMax"/>
          <c:max val="350"/>
        </c:scaling>
        <c:delete val="0"/>
        <c:axPos val="b"/>
        <c:majorGridlines>
          <c:spPr>
            <a:ln w="6345" cap="flat">
              <a:solidFill>
                <a:srgbClr val="89898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0" i="0" u="none" strike="noStrike" kern="1200" baseline="0">
                <a:solidFill>
                  <a:srgbClr val="000000"/>
                </a:solidFill>
                <a:latin typeface="Times New Roman" pitchFamily="18"/>
                <a:ea typeface=""/>
                <a:cs typeface="Times New Roman" pitchFamily="18"/>
              </a:defRPr>
            </a:pPr>
            <a:endParaRPr lang="ru-RU"/>
          </a:p>
        </c:txPr>
        <c:crossAx val="326456512"/>
        <c:crosses val="autoZero"/>
        <c:crossBetween val="between"/>
      </c:valAx>
      <c:catAx>
        <c:axId val="3264565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0" i="0" u="none" strike="noStrike" kern="1200" baseline="0">
                <a:solidFill>
                  <a:srgbClr val="000000"/>
                </a:solidFill>
                <a:latin typeface="Times New Roman" pitchFamily="18"/>
                <a:ea typeface=""/>
                <a:cs typeface="Times New Roman" pitchFamily="18"/>
              </a:defRPr>
            </a:pPr>
            <a:endParaRPr lang="ru-RU"/>
          </a:p>
        </c:txPr>
        <c:crossAx val="326455952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9.6497029676832255E-2"/>
          <c:y val="0.87955182179021074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100" b="0" i="0" u="none" strike="noStrike" kern="1200" baseline="0">
              <a:solidFill>
                <a:srgbClr val="000000"/>
              </a:solidFill>
              <a:latin typeface="Times New Roman" pitchFamily="18"/>
              <a:ea typeface=""/>
              <a:cs typeface="Times New Roman" pitchFamily="18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00" b="0" i="0" u="none" strike="noStrike" kern="1200" baseline="0">
          <a:solidFill>
            <a:srgbClr val="000000"/>
          </a:solidFill>
          <a:latin typeface="Times New Roman" pitchFamily="18"/>
          <a:ea typeface=""/>
          <a:cs typeface="Times New Roman" pitchFamily="18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Ирина Дмитриевна</dc:creator>
  <cp:lastModifiedBy>Пашкина Ирина Дмитриевна</cp:lastModifiedBy>
  <cp:revision>2</cp:revision>
  <dcterms:created xsi:type="dcterms:W3CDTF">2018-01-15T10:15:00Z</dcterms:created>
  <dcterms:modified xsi:type="dcterms:W3CDTF">2018-01-15T10:15:00Z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