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7"/>
              <w:widowControl/>
              <w:ind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Перечень вопросов в рамках проведения публичного обсуждения проекта постановления администрации Белоярского района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Порядке 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для реализации мероприятия 1.1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 подпрограммы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 государственной программы Ханты-Мансийского автономного округа – Югры «Устойчивое развитие коренных малочисленных народов Севера» в 2023 году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».</w:t>
            </w:r>
          </w:p>
          <w:p>
            <w:pPr>
              <w:pStyle w:val="7"/>
              <w:widowControl/>
              <w:ind w:firstLine="0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StrukovskayaLU@admbel.ru</w:t>
            </w:r>
            <w:r>
              <w:rPr>
                <w:rStyle w:val="4"/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не позднее 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/0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  <w:lang w:val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2"/>
                <w:szCs w:val="22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A449E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777EC4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  <w:rsid w:val="2C1D20C9"/>
    <w:rsid w:val="6E5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7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665</Words>
  <Characters>3795</Characters>
  <Lines>31</Lines>
  <Paragraphs>8</Paragraphs>
  <TotalTime>1</TotalTime>
  <ScaleCrop>false</ScaleCrop>
  <LinksUpToDate>false</LinksUpToDate>
  <CharactersWithSpaces>4452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2023-02-21T10:36:25Z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FA292F1D34144C18BD9D98EB68050524</vt:lpwstr>
  </property>
</Properties>
</file>