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highlight w:val="none"/>
          <w:lang w:val="en-US"/>
        </w:rPr>
      </w:pPr>
    </w:p>
    <w:p>
      <w:pPr>
        <w:jc w:val="center"/>
        <w:rPr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  <w:t>БЕЛОЯРСКИЙ РАЙОН</w:t>
      </w:r>
    </w:p>
    <w:p>
      <w:pPr>
        <w:jc w:val="center"/>
        <w:rPr>
          <w:b/>
          <w:highlight w:val="none"/>
        </w:rPr>
      </w:pPr>
      <w:r>
        <w:rPr>
          <w:b/>
          <w:highlight w:val="none"/>
        </w:rPr>
        <w:t>ХАНТЫ-МАНСИЙСКИЙ АВТОНОМНЫЙ ОКРУГ – ЮГРА</w:t>
      </w:r>
    </w:p>
    <w:p>
      <w:pPr>
        <w:jc w:val="right"/>
        <w:rPr>
          <w:sz w:val="26"/>
          <w:szCs w:val="26"/>
          <w:highlight w:val="none"/>
        </w:rPr>
      </w:pPr>
      <w:r>
        <w:rPr>
          <w:sz w:val="24"/>
          <w:szCs w:val="24"/>
          <w:highlight w:val="none"/>
        </w:rPr>
        <w:t>Проект</w:t>
      </w:r>
    </w:p>
    <w:p>
      <w:pPr>
        <w:jc w:val="center"/>
        <w:rPr>
          <w:sz w:val="26"/>
          <w:szCs w:val="26"/>
          <w:highlight w:val="none"/>
        </w:rPr>
      </w:pP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АДМИНИСТРАЦИЯ БЕЛОЯРСКОГО РАЙОНА</w:t>
      </w:r>
    </w:p>
    <w:p>
      <w:pPr>
        <w:jc w:val="center"/>
        <w:rPr>
          <w:sz w:val="24"/>
          <w:szCs w:val="24"/>
          <w:highlight w:val="none"/>
        </w:rPr>
      </w:pPr>
    </w:p>
    <w:p>
      <w:pPr>
        <w:jc w:val="center"/>
        <w:rPr>
          <w:sz w:val="24"/>
          <w:szCs w:val="24"/>
          <w:highlight w:val="none"/>
        </w:rPr>
      </w:pP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ПОСТАНОВЛЕНИЕ</w:t>
      </w:r>
    </w:p>
    <w:p>
      <w:pPr>
        <w:jc w:val="center"/>
        <w:rPr>
          <w:sz w:val="24"/>
          <w:szCs w:val="24"/>
          <w:highlight w:val="none"/>
        </w:rPr>
      </w:pPr>
    </w:p>
    <w:p>
      <w:pPr>
        <w:pStyle w:val="7"/>
        <w:rPr>
          <w:szCs w:val="24"/>
          <w:highlight w:val="none"/>
        </w:rPr>
      </w:pPr>
    </w:p>
    <w:p>
      <w:pPr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от ___ </w:t>
      </w:r>
      <w:r>
        <w:rPr>
          <w:sz w:val="24"/>
          <w:szCs w:val="24"/>
          <w:highlight w:val="none"/>
          <w:lang w:val="ru-RU"/>
        </w:rPr>
        <w:t>января</w:t>
      </w:r>
      <w:r>
        <w:rPr>
          <w:sz w:val="24"/>
          <w:szCs w:val="24"/>
          <w:highlight w:val="none"/>
        </w:rPr>
        <w:t xml:space="preserve"> 202</w:t>
      </w:r>
      <w:r>
        <w:rPr>
          <w:rFonts w:hint="default"/>
          <w:sz w:val="24"/>
          <w:szCs w:val="24"/>
          <w:highlight w:val="none"/>
          <w:lang w:val="ru-RU"/>
        </w:rPr>
        <w:t>3</w:t>
      </w:r>
      <w:r>
        <w:rPr>
          <w:sz w:val="24"/>
          <w:szCs w:val="24"/>
          <w:highlight w:val="none"/>
        </w:rPr>
        <w:t xml:space="preserve"> года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 xml:space="preserve">             № ____</w:t>
      </w:r>
    </w:p>
    <w:p>
      <w:pPr>
        <w:jc w:val="center"/>
        <w:rPr>
          <w:sz w:val="24"/>
          <w:szCs w:val="24"/>
          <w:highlight w:val="none"/>
        </w:rPr>
      </w:pPr>
    </w:p>
    <w:p>
      <w:pPr>
        <w:jc w:val="center"/>
        <w:rPr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  <w:highlight w:val="none"/>
        </w:rPr>
      </w:pPr>
    </w:p>
    <w:p>
      <w:pPr>
        <w:jc w:val="center"/>
        <w:rPr>
          <w:sz w:val="24"/>
          <w:szCs w:val="24"/>
          <w:highlight w:val="none"/>
        </w:rPr>
      </w:pPr>
    </w:p>
    <w:p>
      <w:pPr>
        <w:jc w:val="center"/>
        <w:rPr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1</w:t>
      </w:r>
      <w:r>
        <w:rPr>
          <w:sz w:val="24"/>
          <w:szCs w:val="24"/>
          <w:highlight w:val="none"/>
        </w:rPr>
        <w:t>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  <w:highlight w:val="none"/>
        </w:rPr>
        <w:t xml:space="preserve"> (далее – Программа) к</w:t>
      </w:r>
      <w:r>
        <w:rPr>
          <w:sz w:val="24"/>
          <w:szCs w:val="24"/>
          <w:highlight w:val="none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  <w:highlight w:val="none"/>
        </w:rPr>
        <w:t>следующие изменения:</w:t>
      </w:r>
    </w:p>
    <w:p>
      <w:pPr>
        <w:pStyle w:val="16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val="ru-RU"/>
        </w:rPr>
        <w:t>в</w:t>
      </w: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 паспорте программы: </w:t>
      </w:r>
    </w:p>
    <w:p>
      <w:pPr>
        <w:pStyle w:val="16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>а) позицию касающуюся сроков реализации Программы, изложить в следующей редакции:</w:t>
      </w: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18730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</w:tbl>
    <w:p>
      <w:pPr>
        <w:pStyle w:val="16"/>
        <w:jc w:val="center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                                                                                                                                                     »;</w:t>
      </w:r>
    </w:p>
    <w:p>
      <w:pPr>
        <w:pStyle w:val="16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  <w:lang w:val="ru-RU"/>
        </w:rPr>
        <w:t xml:space="preserve">б)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позицию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касающуюся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целей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Программы, изложить в следующей редакции:</w:t>
      </w: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44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ru-RU"/>
              </w:rPr>
              <w:t>Цели</w:t>
            </w:r>
            <w:r>
              <w:rPr>
                <w:sz w:val="24"/>
                <w:szCs w:val="24"/>
                <w:highlight w:val="none"/>
              </w:rPr>
              <w:t xml:space="preserve">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1. Повышение уровня пожарной безопасности в городском поселении Белоярский и на объектах муниципальной собственности Белоярского района.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  Повышение уровня защиты населения и территории Белоярского района от угроз природного и техногенного  характера.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3. Обеспечение безопасности населения Белоярского района в местах массового отдыха на водных объектах.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4. 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района».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 xml:space="preserve">5. Построение и развитие на территории Белоярского района </w:t>
            </w:r>
            <w:r>
              <w:rPr>
                <w:sz w:val="24"/>
                <w:szCs w:val="24"/>
                <w:highlight w:val="none"/>
                <w:lang w:val="ru-RU"/>
              </w:rPr>
              <w:t>городской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системы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видеонаблюдения.</w:t>
            </w:r>
          </w:p>
        </w:tc>
      </w:tr>
    </w:tbl>
    <w:p>
      <w:pPr>
        <w:numPr>
          <w:ilvl w:val="0"/>
          <w:numId w:val="0"/>
        </w:numPr>
        <w:ind w:left="9200" w:leftChars="0" w:firstLine="120" w:firstLineChars="50"/>
        <w:jc w:val="both"/>
        <w:rPr>
          <w:rFonts w:hint="default" w:cs="Times New Roman"/>
          <w:bCs/>
          <w:sz w:val="24"/>
          <w:szCs w:val="24"/>
          <w:highlight w:val="none"/>
          <w:lang w:val="ru-RU"/>
        </w:rPr>
      </w:pPr>
      <w:r>
        <w:rPr>
          <w:bCs/>
          <w:sz w:val="24"/>
          <w:szCs w:val="24"/>
          <w:highlight w:val="none"/>
        </w:rPr>
        <w:t>»;</w:t>
      </w:r>
    </w:p>
    <w:p>
      <w:pPr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 w:cs="Times New Roman"/>
          <w:bCs/>
          <w:sz w:val="24"/>
          <w:szCs w:val="24"/>
          <w:highlight w:val="none"/>
          <w:lang w:val="ru-RU"/>
        </w:rPr>
        <w:t xml:space="preserve">в)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позицию</w:t>
      </w:r>
      <w:r>
        <w:rPr>
          <w:rFonts w:hint="default" w:cs="Times New Roman"/>
          <w:b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касающуюся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cs="Times New Roman"/>
          <w:sz w:val="24"/>
          <w:szCs w:val="24"/>
          <w:highlight w:val="none"/>
          <w:lang w:val="ru-RU"/>
        </w:rPr>
        <w:t>задач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Программы, изложить в следующей редакции:</w:t>
      </w: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95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Задачи муниципальной программы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>1. Обеспечение первичных мер пожарной безопасности в границах городского поселения Белоярский.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 Повышение эффективности мер защиты населения Белоярского района от чрезвычайных ситуаций природного и техногенного характера.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>3. Повышение эффективности принимаемых мер</w:t>
            </w:r>
            <w:r>
              <w:rPr>
                <w:rFonts w:hint="default" w:eastAsia="Arial" w:cs="Arial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eastAsia="Arial" w:cs="Arial"/>
                <w:sz w:val="24"/>
                <w:szCs w:val="24"/>
                <w:highlight w:val="none"/>
              </w:rPr>
              <w:t xml:space="preserve"> направленных на </w:t>
            </w:r>
            <w:r>
              <w:rPr>
                <w:sz w:val="24"/>
                <w:szCs w:val="24"/>
                <w:highlight w:val="none"/>
              </w:rPr>
              <w:t>обеспечение безопасности населения Белоярского района в местах массового отдыха на водных объектах.</w:t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4. Обеспечение эффективной деятельности муниципального казенного учреждения «Единая дежурно-диспетчерская служба Белоярского района».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rFonts w:eastAsia="Arial" w:cs="Arial"/>
                <w:sz w:val="24"/>
                <w:szCs w:val="24"/>
                <w:highlight w:val="none"/>
              </w:rPr>
              <w:t>5. Повышение эффективности систем мониторинга и предупреждения чрезвычайных ситуаций, происшествий и правонарушений</w:t>
            </w:r>
            <w:r>
              <w:rPr>
                <w:rFonts w:hint="default" w:eastAsia="Arial" w:cs="Arial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eastAsia="Arial" w:cs="Arial"/>
                <w:sz w:val="24"/>
                <w:szCs w:val="24"/>
                <w:highlight w:val="none"/>
              </w:rPr>
              <w:t xml:space="preserve"> входящих в </w:t>
            </w:r>
            <w:r>
              <w:rPr>
                <w:rFonts w:eastAsia="Arial" w:cs="Arial"/>
                <w:sz w:val="24"/>
                <w:szCs w:val="24"/>
                <w:highlight w:val="none"/>
                <w:lang w:val="ru-RU"/>
              </w:rPr>
              <w:t>городскую</w:t>
            </w:r>
            <w:r>
              <w:rPr>
                <w:rFonts w:hint="default" w:eastAsia="Arial" w:cs="Arial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highlight w:val="none"/>
                <w:lang w:val="ru-RU"/>
              </w:rPr>
              <w:t>систему</w:t>
            </w:r>
            <w:r>
              <w:rPr>
                <w:rFonts w:hint="default" w:eastAsia="Arial" w:cs="Arial"/>
                <w:sz w:val="24"/>
                <w:szCs w:val="24"/>
                <w:highlight w:val="none"/>
                <w:lang w:val="ru-RU"/>
              </w:rPr>
              <w:t xml:space="preserve"> видеонаблюдения</w:t>
            </w:r>
            <w:r>
              <w:rPr>
                <w:rFonts w:eastAsia="Arial" w:cs="Arial"/>
                <w:sz w:val="24"/>
                <w:szCs w:val="24"/>
                <w:highlight w:val="none"/>
              </w:rPr>
              <w:t>.</w:t>
            </w:r>
          </w:p>
        </w:tc>
      </w:tr>
    </w:tbl>
    <w:p>
      <w:pPr>
        <w:numPr>
          <w:ilvl w:val="0"/>
          <w:numId w:val="0"/>
        </w:numPr>
        <w:ind w:left="9200" w:leftChars="0" w:firstLine="120" w:firstLineChars="50"/>
        <w:jc w:val="both"/>
        <w:rPr>
          <w:rFonts w:hint="default" w:cs="Times New Roman"/>
          <w:bCs/>
          <w:sz w:val="24"/>
          <w:szCs w:val="24"/>
          <w:highlight w:val="none"/>
          <w:lang w:val="ru-RU"/>
        </w:rPr>
      </w:pPr>
      <w:r>
        <w:rPr>
          <w:bCs/>
          <w:sz w:val="24"/>
          <w:szCs w:val="24"/>
          <w:highlight w:val="none"/>
        </w:rPr>
        <w:t>»;</w:t>
      </w:r>
    </w:p>
    <w:p>
      <w:pPr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 w:cs="Times New Roman"/>
          <w:bCs/>
          <w:sz w:val="24"/>
          <w:szCs w:val="24"/>
          <w:highlight w:val="none"/>
          <w:lang w:val="ru-RU"/>
        </w:rPr>
        <w:t xml:space="preserve">г)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позицию</w:t>
      </w:r>
      <w:r>
        <w:rPr>
          <w:rFonts w:hint="default" w:cs="Times New Roman"/>
          <w:b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касающуюся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cs="Times New Roman"/>
          <w:sz w:val="24"/>
          <w:szCs w:val="24"/>
          <w:highlight w:val="none"/>
          <w:lang w:val="ru-RU"/>
        </w:rPr>
        <w:t>целевых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показателей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Программы, изложить в следующей редакции:</w:t>
      </w: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9586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Целевые показатели муниципальной программы </w:t>
            </w:r>
          </w:p>
        </w:tc>
        <w:tc>
          <w:tcPr>
            <w:tcW w:w="6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1) количество зарегистрированных пожаров на объектах муниципальной собственности Белоярского района, единиц;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2) 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 3) </w:t>
            </w:r>
            <w:r>
              <w:rPr>
                <w:bCs/>
                <w:sz w:val="24"/>
                <w:szCs w:val="24"/>
                <w:highlight w:val="none"/>
              </w:rPr>
              <w:t>доля населения Белоярского района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bCs/>
                <w:sz w:val="24"/>
                <w:szCs w:val="24"/>
                <w:highlight w:val="none"/>
              </w:rPr>
              <w:t xml:space="preserve"> прошедшего обучение в области гражданской обороны и защиты от чрезвычайных ситуаций, процентов;</w:t>
            </w:r>
          </w:p>
          <w:p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4) 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единиц;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5) количество происшествий (в том числе гибели людей) в местах массового отдыха людей на водных объектах, единиц;</w:t>
            </w:r>
          </w:p>
          <w:p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</w:rPr>
              <w:t xml:space="preserve">6) оценочные показатели реагирования на возможные чрезвычайные ситуации в соответствии с </w:t>
            </w:r>
            <w:r>
              <w:rPr>
                <w:sz w:val="24"/>
                <w:szCs w:val="24"/>
                <w:highlight w:val="none"/>
                <w:lang w:val="ru-RU"/>
              </w:rPr>
              <w:t>у</w:t>
            </w:r>
            <w:r>
              <w:rPr>
                <w:sz w:val="24"/>
                <w:szCs w:val="24"/>
                <w:highlight w:val="none"/>
              </w:rPr>
              <w:t>ставом муниципального казенного учреждения «Единая дежурно-диспетчерская служба Белоярского района», баллов;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sz w:val="24"/>
                <w:szCs w:val="24"/>
                <w:highlight w:val="none"/>
              </w:rPr>
              <w:t xml:space="preserve">7)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доля</w:t>
            </w:r>
            <w:r>
              <w:rPr>
                <w:sz w:val="24"/>
                <w:szCs w:val="24"/>
                <w:highlight w:val="none"/>
              </w:rPr>
              <w:t xml:space="preserve"> принятых в эксплуатацию технических систем, входящих в состав </w:t>
            </w:r>
            <w:r>
              <w:rPr>
                <w:sz w:val="24"/>
                <w:szCs w:val="24"/>
                <w:highlight w:val="none"/>
                <w:lang w:val="ru-RU"/>
              </w:rPr>
              <w:t>городской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none"/>
                <w:lang w:val="ru-RU"/>
              </w:rPr>
              <w:t>системы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видеонаблюдения,</w:t>
            </w:r>
            <w:r>
              <w:rPr>
                <w:sz w:val="24"/>
                <w:szCs w:val="24"/>
                <w:highlight w:val="none"/>
              </w:rPr>
              <w:t xml:space="preserve"> на территории Белоярского района, </w:t>
            </w:r>
            <w:r>
              <w:rPr>
                <w:sz w:val="24"/>
                <w:szCs w:val="24"/>
                <w:highlight w:val="none"/>
                <w:lang w:val="ru-RU"/>
              </w:rPr>
              <w:t>процентов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.</w:t>
            </w:r>
          </w:p>
        </w:tc>
      </w:tr>
    </w:tbl>
    <w:p>
      <w:pPr>
        <w:numPr>
          <w:ilvl w:val="0"/>
          <w:numId w:val="0"/>
        </w:numPr>
        <w:ind w:left="9200" w:leftChars="0" w:firstLine="120" w:firstLineChars="50"/>
        <w:jc w:val="both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  <w:t>»;</w:t>
      </w:r>
    </w:p>
    <w:p>
      <w:pPr>
        <w:numPr>
          <w:ilvl w:val="0"/>
          <w:numId w:val="0"/>
        </w:numPr>
        <w:ind w:firstLine="708" w:firstLineChars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 xml:space="preserve">д)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позицию</w:t>
      </w:r>
      <w:r>
        <w:rPr>
          <w:rFonts w:hint="default" w:cs="Times New Roman"/>
          <w:b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касающуюся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cs="Times New Roman"/>
          <w:sz w:val="24"/>
          <w:szCs w:val="24"/>
          <w:highlight w:val="none"/>
          <w:lang w:val="ru-RU"/>
        </w:rPr>
        <w:t>параметров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финансового обеспечения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Программы, изложить в следующей редакции:</w:t>
      </w:r>
    </w:p>
    <w:p>
      <w:pPr>
        <w:pStyle w:val="16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18730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  <w:t>Общий объем финансирования муниципальной программы на 2019 – 202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 xml:space="preserve"> годы составляет                    </w:t>
            </w:r>
            <w:r>
              <w:rPr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52</w:t>
            </w:r>
            <w:r>
              <w:rPr>
                <w:bCs/>
                <w:sz w:val="24"/>
                <w:szCs w:val="24"/>
                <w:highlight w:val="none"/>
              </w:rPr>
              <w:t> 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493</w:t>
            </w:r>
            <w:r>
              <w:rPr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8</w:t>
            </w:r>
            <w:r>
              <w:rPr>
                <w:bCs/>
                <w:sz w:val="24"/>
                <w:szCs w:val="24"/>
                <w:highlight w:val="none"/>
              </w:rPr>
              <w:t xml:space="preserve"> тыс. рублей, в том числе:</w:t>
            </w:r>
          </w:p>
          <w:p>
            <w:pPr>
              <w:pStyle w:val="7"/>
              <w:jc w:val="both"/>
            </w:pPr>
            <w:r>
              <w:t>2019 год – 14 760,4 тыс. рублей;</w:t>
            </w:r>
          </w:p>
          <w:p>
            <w:pPr>
              <w:pStyle w:val="7"/>
              <w:jc w:val="both"/>
            </w:pPr>
            <w:r>
              <w:t>2020 год – 19 602,6 тыс. рублей;</w:t>
            </w:r>
          </w:p>
          <w:p>
            <w:pPr>
              <w:pStyle w:val="7"/>
              <w:jc w:val="both"/>
            </w:pPr>
            <w:r>
              <w:t>2021 год – 22 213,1 тыс. рублей;</w:t>
            </w:r>
          </w:p>
          <w:p>
            <w:pPr>
              <w:pStyle w:val="7"/>
              <w:jc w:val="both"/>
            </w:pPr>
            <w:r>
              <w:t>2022 год – 17 915,4 тыс. рублей;</w:t>
            </w:r>
          </w:p>
          <w:p>
            <w:pPr>
              <w:pStyle w:val="7"/>
              <w:jc w:val="both"/>
            </w:pPr>
            <w:r>
              <w:t>2023 год – 1</w:t>
            </w:r>
            <w:r>
              <w:rPr>
                <w:rFonts w:hint="default"/>
                <w:lang w:val="ru-RU"/>
              </w:rPr>
              <w:t>9</w:t>
            </w:r>
            <w:r>
              <w:t> </w:t>
            </w:r>
            <w:r>
              <w:rPr>
                <w:rFonts w:hint="default"/>
                <w:lang w:val="ru-RU"/>
              </w:rPr>
              <w:t>606</w:t>
            </w:r>
            <w:r>
              <w:t>,</w:t>
            </w:r>
            <w:r>
              <w:rPr>
                <w:rFonts w:hint="default"/>
                <w:lang w:val="ru-RU"/>
              </w:rPr>
              <w:t>5</w:t>
            </w:r>
            <w:r>
              <w:t xml:space="preserve"> тыс. рублей;</w:t>
            </w:r>
          </w:p>
          <w:p>
            <w:pPr>
              <w:pStyle w:val="7"/>
              <w:jc w:val="both"/>
            </w:pPr>
            <w:r>
              <w:t>2024 год – 1</w:t>
            </w:r>
            <w:r>
              <w:rPr>
                <w:rFonts w:hint="default"/>
                <w:lang w:val="ru-RU"/>
              </w:rPr>
              <w:t>9</w:t>
            </w:r>
            <w:r>
              <w:t> </w:t>
            </w:r>
            <w:r>
              <w:rPr>
                <w:rFonts w:hint="default"/>
                <w:lang w:val="ru-RU"/>
              </w:rPr>
              <w:t>180</w:t>
            </w:r>
            <w:r>
              <w:t>,</w:t>
            </w:r>
            <w:r>
              <w:rPr>
                <w:rFonts w:hint="default"/>
                <w:lang w:val="ru-RU"/>
              </w:rPr>
              <w:t>0</w:t>
            </w:r>
            <w: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2025 год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19 607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2026 год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19 607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651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1</w:t>
            </w:r>
            <w:r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 год –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614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2025 год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604,6 тыс. рублей;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2026 год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604,6 тыс. рублей;</w:t>
            </w:r>
          </w:p>
          <w:p>
            <w:pPr>
              <w:jc w:val="both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2) за счет средств бюджета Белоярского района –           1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47</w:t>
            </w:r>
            <w:r>
              <w:rPr>
                <w:bCs/>
                <w:sz w:val="24"/>
                <w:szCs w:val="24"/>
                <w:highlight w:val="none"/>
              </w:rPr>
              <w:t> 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842</w:t>
            </w:r>
            <w:r>
              <w:rPr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bCs/>
                <w:sz w:val="24"/>
                <w:szCs w:val="24"/>
                <w:highlight w:val="none"/>
              </w:rPr>
              <w:t xml:space="preserve">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2021 год – 21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803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6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301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4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1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001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>9</w:t>
            </w:r>
            <w:r>
              <w:rPr>
                <w:bCs/>
                <w:sz w:val="24"/>
                <w:szCs w:val="24"/>
              </w:rPr>
              <w:t xml:space="preserve"> тыс. рублей;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  <w:highlight w:val="none"/>
              </w:rPr>
              <w:t>024 год – 1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8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575</w:t>
            </w:r>
            <w:r>
              <w:rPr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4</w:t>
            </w:r>
            <w:r>
              <w:rPr>
                <w:bCs/>
                <w:sz w:val="24"/>
                <w:szCs w:val="24"/>
                <w:highlight w:val="none"/>
              </w:rPr>
              <w:t xml:space="preserve"> тыс.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bCs/>
                <w:sz w:val="24"/>
                <w:szCs w:val="24"/>
                <w:highlight w:val="none"/>
              </w:rPr>
              <w:t>ублей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;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bCs/>
                <w:sz w:val="24"/>
                <w:szCs w:val="24"/>
                <w:highlight w:val="none"/>
              </w:rPr>
              <w:t xml:space="preserve"> год – 1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003</w:t>
            </w:r>
            <w:r>
              <w:rPr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bCs/>
                <w:sz w:val="24"/>
                <w:szCs w:val="24"/>
                <w:highlight w:val="none"/>
              </w:rPr>
              <w:t xml:space="preserve"> тыс.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bCs/>
                <w:sz w:val="24"/>
                <w:szCs w:val="24"/>
                <w:highlight w:val="none"/>
              </w:rPr>
              <w:t>ублей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;</w:t>
            </w:r>
          </w:p>
          <w:p>
            <w:pPr>
              <w:jc w:val="both"/>
              <w:rPr>
                <w:rFonts w:hint="default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highlight w:val="none"/>
              </w:rPr>
              <w:t>202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6</w:t>
            </w:r>
            <w:r>
              <w:rPr>
                <w:bCs/>
                <w:sz w:val="24"/>
                <w:szCs w:val="24"/>
                <w:highlight w:val="none"/>
              </w:rPr>
              <w:t xml:space="preserve"> год – 1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9</w:t>
            </w:r>
            <w:r>
              <w:rPr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003</w:t>
            </w:r>
            <w:r>
              <w:rPr>
                <w:bCs/>
                <w:sz w:val="24"/>
                <w:szCs w:val="24"/>
                <w:highlight w:val="none"/>
              </w:rPr>
              <w:t>,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bCs/>
                <w:sz w:val="24"/>
                <w:szCs w:val="24"/>
                <w:highlight w:val="none"/>
              </w:rPr>
              <w:t xml:space="preserve"> тыс. </w:t>
            </w:r>
            <w:r>
              <w:rPr>
                <w:bCs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bCs/>
                <w:sz w:val="24"/>
                <w:szCs w:val="24"/>
                <w:highlight w:val="none"/>
              </w:rPr>
              <w:t>ублей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;</w:t>
            </w:r>
          </w:p>
        </w:tc>
      </w:tr>
    </w:tbl>
    <w:p>
      <w:pPr>
        <w:pStyle w:val="16"/>
        <w:ind w:firstLine="9240" w:firstLineChars="385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»;</w:t>
      </w:r>
    </w:p>
    <w:p>
      <w:pPr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е)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>позицию</w:t>
      </w:r>
      <w:r>
        <w:rPr>
          <w:rFonts w:hint="default" w:cs="Times New Roman"/>
          <w:bCs/>
          <w:sz w:val="24"/>
          <w:szCs w:val="24"/>
          <w:highlight w:val="none"/>
          <w:lang w:val="ru-RU"/>
        </w:rPr>
        <w:t>,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касающуюся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cs="Times New Roman"/>
          <w:sz w:val="24"/>
          <w:szCs w:val="24"/>
          <w:highlight w:val="none"/>
          <w:lang w:val="ru-RU"/>
        </w:rPr>
        <w:t>налоговых</w:t>
      </w:r>
      <w:r>
        <w:rPr>
          <w:rFonts w:hint="default" w:cs="Times New Roman"/>
          <w:sz w:val="24"/>
          <w:szCs w:val="24"/>
          <w:highlight w:val="none"/>
          <w:lang w:val="ru-RU"/>
        </w:rPr>
        <w:t xml:space="preserve"> расходов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Программы, изложить в следующей редакции:</w:t>
      </w:r>
    </w:p>
    <w:p>
      <w:pPr>
        <w:numPr>
          <w:ilvl w:val="0"/>
          <w:numId w:val="0"/>
        </w:numPr>
        <w:jc w:val="both"/>
        <w:rPr>
          <w:rFonts w:hint="default" w:cs="Times New Roman"/>
          <w:sz w:val="24"/>
          <w:szCs w:val="24"/>
          <w:highlight w:val="none"/>
          <w:lang w:val="ru-RU"/>
        </w:rPr>
      </w:pPr>
      <w:r>
        <w:rPr>
          <w:rFonts w:hint="default" w:cs="Times New Roman"/>
          <w:sz w:val="24"/>
          <w:szCs w:val="24"/>
          <w:highlight w:val="none"/>
          <w:lang w:val="ru-RU"/>
        </w:rPr>
        <w:t>«</w:t>
      </w:r>
    </w:p>
    <w:tbl>
      <w:tblPr>
        <w:tblStyle w:val="3"/>
        <w:tblW w:w="18730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47"/>
      </w:tblGrid>
      <w:t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расходов Белоярского района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налоговых расходов Белоярского района по муниципальной программе за 2022 - 202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 годы составляет 0,0 тыс.рублей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cs="Times New Roman"/>
          <w:sz w:val="24"/>
          <w:szCs w:val="24"/>
          <w:highlight w:val="none"/>
          <w:lang w:val="ru-RU"/>
        </w:rPr>
      </w:pPr>
      <w:r>
        <w:rPr>
          <w:rFonts w:hint="default" w:cs="Times New Roman"/>
          <w:sz w:val="24"/>
          <w:szCs w:val="24"/>
          <w:highlight w:val="none"/>
          <w:lang w:val="ru-RU"/>
        </w:rPr>
        <w:t xml:space="preserve">                                                                                                                                                     »;</w:t>
      </w:r>
    </w:p>
    <w:p>
      <w:pPr>
        <w:numPr>
          <w:ilvl w:val="0"/>
          <w:numId w:val="0"/>
        </w:numPr>
        <w:jc w:val="center"/>
        <w:rPr>
          <w:rFonts w:hint="default" w:cs="Times New Roman"/>
          <w:sz w:val="24"/>
          <w:szCs w:val="24"/>
          <w:highlight w:val="none"/>
          <w:lang w:val="ru-RU"/>
        </w:rPr>
      </w:pPr>
    </w:p>
    <w:p>
      <w:pPr>
        <w:numPr>
          <w:ilvl w:val="0"/>
          <w:numId w:val="1"/>
        </w:numPr>
        <w:ind w:left="0" w:leftChars="0" w:firstLine="799" w:firstLineChars="333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 xml:space="preserve">в таблице 2 «Перечень основных мероприятий муниципальной программы, их связь с целевыми показателями» Программы: </w:t>
      </w:r>
    </w:p>
    <w:p>
      <w:pPr>
        <w:numPr>
          <w:ilvl w:val="0"/>
          <w:numId w:val="0"/>
        </w:numPr>
        <w:ind w:left="0" w:leftChars="0" w:firstLine="800" w:firstLineChars="0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>а) позиции, касающиеся цели 5 и задачи 5 изложить в следующей редакции:</w:t>
      </w:r>
    </w:p>
    <w:p>
      <w:pPr>
        <w:numPr>
          <w:ilvl w:val="0"/>
          <w:numId w:val="0"/>
        </w:numPr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>«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48" w:type="dxa"/>
            <w:shd w:val="clear" w:color="auto" w:fill="auto"/>
          </w:tcPr>
          <w:p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5 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Построение и развитие на территории Белоярского района городской системы видеонаблюдения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48" w:type="dxa"/>
            <w:shd w:val="clear" w:color="auto" w:fill="auto"/>
          </w:tcPr>
          <w:p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Повышение эффективности систем мониторинга и предупреждения чрезвычайных ситуаций, происшествий и правонарушений, входящих в городскую систему видеонаблюдения»</w:t>
            </w:r>
          </w:p>
        </w:tc>
      </w:tr>
    </w:tbl>
    <w:p>
      <w:pPr>
        <w:numPr>
          <w:ilvl w:val="0"/>
          <w:numId w:val="0"/>
        </w:numPr>
        <w:ind w:firstLine="9480" w:firstLineChars="3950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bCs/>
          <w:sz w:val="24"/>
          <w:szCs w:val="24"/>
          <w:highlight w:val="none"/>
        </w:rPr>
        <w:t>»;</w:t>
      </w:r>
    </w:p>
    <w:p>
      <w:pPr>
        <w:numPr>
          <w:ilvl w:val="0"/>
          <w:numId w:val="0"/>
        </w:numPr>
        <w:ind w:left="0" w:leftChars="0" w:firstLine="799" w:firstLineChars="333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>б) позицию 2.6 изложить в следующей редакции:</w:t>
      </w:r>
    </w:p>
    <w:p>
      <w:pPr>
        <w:numPr>
          <w:ilvl w:val="0"/>
          <w:numId w:val="0"/>
        </w:numPr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>«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0"/>
        <w:gridCol w:w="2752"/>
        <w:gridCol w:w="2694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50" w:type="dxa"/>
            <w:shd w:val="clear" w:color="auto" w:fill="auto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52" w:type="dxa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Белоярского района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принятых в эксплуатацию технических систем,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системы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видеонаблюдения,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на территории Белоярского района</w:t>
            </w:r>
          </w:p>
        </w:tc>
        <w:tc>
          <w:tcPr>
            <w:tcW w:w="3352" w:type="dxa"/>
            <w:shd w:val="clear" w:color="auto" w:fill="auto"/>
          </w:tcPr>
          <w:p>
            <w:pPr>
              <w:pStyle w:val="11"/>
              <w:ind w:firstLine="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принятых в эксплуатацию технических систем, 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системы 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 территории Белоярского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количеству технических систем подлежащих включению в состав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городской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системы видеонаблюдения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  <w:r>
        <w:rPr>
          <w:rFonts w:hint="default"/>
          <w:bCs/>
          <w:sz w:val="24"/>
          <w:szCs w:val="24"/>
          <w:highlight w:val="none"/>
          <w:lang w:val="ru-RU"/>
        </w:rPr>
        <w:t xml:space="preserve">   </w:t>
      </w:r>
      <w:r>
        <w:rPr>
          <w:bCs/>
          <w:sz w:val="24"/>
          <w:szCs w:val="24"/>
          <w:highlight w:val="none"/>
        </w:rPr>
        <w:t>»;</w:t>
      </w:r>
    </w:p>
    <w:p>
      <w:pPr>
        <w:numPr>
          <w:ilvl w:val="0"/>
          <w:numId w:val="1"/>
        </w:numPr>
        <w:ind w:left="0" w:leftChars="0" w:firstLine="799" w:firstLineChars="333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highlight w:val="none"/>
          <w:lang w:val="ru-RU"/>
        </w:rPr>
        <w:t>таблицу 3 «Целевые показатели муниципальной программы» Программы изложить в редакции согласно приложению 1 к настоящему постановлению;</w:t>
      </w:r>
    </w:p>
    <w:p>
      <w:pPr>
        <w:numPr>
          <w:ilvl w:val="0"/>
          <w:numId w:val="1"/>
        </w:numPr>
        <w:ind w:left="0" w:leftChars="0" w:firstLine="799" w:firstLineChars="333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sz w:val="24"/>
          <w:szCs w:val="24"/>
        </w:rPr>
        <w:t>таблицу 4 «</w:t>
      </w:r>
      <w:r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</w:t>
      </w:r>
      <w:r>
        <w:rPr>
          <w:bCs/>
          <w:sz w:val="24"/>
          <w:szCs w:val="24"/>
        </w:rPr>
        <w:t xml:space="preserve"> согласно приложению </w:t>
      </w:r>
      <w:r>
        <w:rPr>
          <w:rFonts w:hint="default"/>
          <w:bCs/>
          <w:sz w:val="24"/>
          <w:szCs w:val="24"/>
          <w:lang w:val="ru-RU"/>
        </w:rPr>
        <w:t xml:space="preserve">2 </w:t>
      </w:r>
      <w:r>
        <w:rPr>
          <w:bCs/>
          <w:sz w:val="24"/>
          <w:szCs w:val="24"/>
        </w:rPr>
        <w:t>к настоящему постановлению</w:t>
      </w:r>
      <w:r>
        <w:rPr>
          <w:rFonts w:hint="default"/>
          <w:bCs/>
          <w:sz w:val="24"/>
          <w:szCs w:val="24"/>
          <w:lang w:val="ru-RU"/>
        </w:rPr>
        <w:t>;</w:t>
      </w:r>
    </w:p>
    <w:p>
      <w:pPr>
        <w:numPr>
          <w:ilvl w:val="0"/>
          <w:numId w:val="1"/>
        </w:numPr>
        <w:ind w:left="0" w:leftChars="0" w:firstLine="799" w:firstLineChars="333"/>
        <w:jc w:val="both"/>
        <w:rPr>
          <w:rFonts w:hint="default"/>
          <w:bCs/>
          <w:sz w:val="24"/>
          <w:szCs w:val="24"/>
          <w:highlight w:val="none"/>
          <w:lang w:val="ru-RU"/>
        </w:rPr>
      </w:pPr>
      <w:r>
        <w:rPr>
          <w:rFonts w:hint="default"/>
          <w:bCs/>
          <w:sz w:val="24"/>
          <w:szCs w:val="24"/>
          <w:lang w:val="ru-RU"/>
        </w:rPr>
        <w:t>таблицу 5 «Мероприятия, реализуемые на принципах проектного управления» Программы изложить в редакции согласно приложению 3 к настоящему постановлению</w:t>
      </w:r>
      <w:bookmarkStart w:id="0" w:name="_GoBack"/>
      <w:bookmarkEnd w:id="0"/>
      <w:r>
        <w:rPr>
          <w:rFonts w:hint="default"/>
          <w:bCs/>
          <w:sz w:val="24"/>
          <w:szCs w:val="24"/>
          <w:lang w:val="ru-RU"/>
        </w:rPr>
        <w:t xml:space="preserve">. </w:t>
      </w:r>
      <w:r>
        <w:rPr>
          <w:rFonts w:hint="default"/>
          <w:bCs/>
          <w:sz w:val="24"/>
          <w:szCs w:val="24"/>
          <w:highlight w:val="none"/>
          <w:lang w:val="ru-RU"/>
        </w:rPr>
        <w:tab/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2</w:t>
      </w:r>
      <w:r>
        <w:rPr>
          <w:sz w:val="24"/>
          <w:szCs w:val="24"/>
          <w:highlight w:val="none"/>
        </w:rPr>
        <w:t>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3</w:t>
      </w:r>
      <w:r>
        <w:rPr>
          <w:sz w:val="24"/>
          <w:szCs w:val="24"/>
          <w:highlight w:val="none"/>
        </w:rPr>
        <w:t>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  <w:highlight w:val="none"/>
        </w:rPr>
      </w:pPr>
      <w:r>
        <w:rPr>
          <w:rFonts w:hint="default"/>
          <w:sz w:val="24"/>
          <w:highlight w:val="none"/>
          <w:lang w:val="ru-RU"/>
        </w:rPr>
        <w:t>4</w:t>
      </w:r>
      <w:r>
        <w:rPr>
          <w:sz w:val="24"/>
          <w:highlight w:val="none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highlight w:val="none"/>
        </w:rPr>
      </w:pPr>
    </w:p>
    <w:p>
      <w:pPr>
        <w:jc w:val="both"/>
        <w:rPr>
          <w:sz w:val="22"/>
          <w:szCs w:val="22"/>
          <w:highlight w:val="none"/>
        </w:rPr>
      </w:pPr>
    </w:p>
    <w:p>
      <w:pPr>
        <w:jc w:val="both"/>
        <w:rPr>
          <w:sz w:val="22"/>
          <w:szCs w:val="22"/>
          <w:highlight w:val="none"/>
        </w:rPr>
      </w:pPr>
    </w:p>
    <w:p>
      <w:pPr>
        <w:jc w:val="both"/>
        <w:rPr>
          <w:sz w:val="24"/>
          <w:highlight w:val="none"/>
        </w:rPr>
      </w:pPr>
      <w:r>
        <w:rPr>
          <w:sz w:val="24"/>
          <w:highlight w:val="none"/>
        </w:rPr>
        <w:t>Глава Белоярского района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 xml:space="preserve">                      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 xml:space="preserve">          </w:t>
      </w:r>
      <w:r>
        <w:rPr>
          <w:rFonts w:hint="default"/>
          <w:sz w:val="24"/>
          <w:highlight w:val="none"/>
          <w:lang w:val="ru-RU"/>
        </w:rPr>
        <w:t xml:space="preserve">    </w:t>
      </w:r>
      <w:r>
        <w:rPr>
          <w:sz w:val="24"/>
          <w:highlight w:val="none"/>
        </w:rPr>
        <w:t xml:space="preserve">   С.П.Маненков</w:t>
      </w:r>
    </w:p>
    <w:p>
      <w:pPr>
        <w:jc w:val="both"/>
        <w:rPr>
          <w:sz w:val="24"/>
          <w:highlight w:val="none"/>
        </w:rPr>
        <w:sectPr>
          <w:headerReference r:id="rId3" w:type="default"/>
          <w:pgSz w:w="11906" w:h="16838"/>
          <w:pgMar w:top="567" w:right="850" w:bottom="567" w:left="1417" w:header="709" w:footer="709" w:gutter="0"/>
          <w:pgNumType w:start="1"/>
          <w:cols w:space="0" w:num="1"/>
          <w:titlePg/>
          <w:rtlGutter w:val="0"/>
          <w:docGrid w:linePitch="360" w:charSpace="0"/>
        </w:sectPr>
      </w:pPr>
    </w:p>
    <w:p>
      <w:pPr>
        <w:ind w:left="9923" w:hanging="10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РИЛОЖЕНИЕ</w:t>
      </w:r>
      <w:r>
        <w:rPr>
          <w:rFonts w:hint="default"/>
          <w:sz w:val="24"/>
          <w:szCs w:val="24"/>
          <w:lang w:val="ru-RU"/>
        </w:rPr>
        <w:t xml:space="preserve"> 1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от ______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4"/>
          <w:szCs w:val="24"/>
          <w:lang w:val="ru-RU"/>
        </w:rPr>
        <w:t>«Таблица 3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3"/>
          <w:szCs w:val="23"/>
          <w:highlight w:val="none"/>
        </w:rPr>
      </w:pPr>
      <w:r>
        <w:rPr>
          <w:bCs/>
          <w:sz w:val="24"/>
          <w:szCs w:val="24"/>
          <w:lang w:val="ru-RU"/>
        </w:rPr>
        <w:t>Целевые</w:t>
      </w:r>
      <w:r>
        <w:rPr>
          <w:rFonts w:hint="default"/>
          <w:bCs/>
          <w:sz w:val="24"/>
          <w:szCs w:val="24"/>
          <w:lang w:val="ru-RU"/>
        </w:rPr>
        <w:t xml:space="preserve"> показатели</w:t>
      </w:r>
      <w:r>
        <w:rPr>
          <w:bCs/>
          <w:sz w:val="24"/>
          <w:szCs w:val="24"/>
        </w:rPr>
        <w:t xml:space="preserve"> муниципальной программы</w:t>
      </w: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tbl>
      <w:tblPr>
        <w:tblStyle w:val="3"/>
        <w:tblW w:w="15601" w:type="dxa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7"/>
        <w:gridCol w:w="4851"/>
        <w:gridCol w:w="1415"/>
        <w:gridCol w:w="784"/>
        <w:gridCol w:w="808"/>
        <w:gridCol w:w="808"/>
        <w:gridCol w:w="807"/>
        <w:gridCol w:w="854"/>
        <w:gridCol w:w="785"/>
        <w:gridCol w:w="819"/>
        <w:gridCol w:w="79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947" w:type="dxa"/>
            <w:vMerge w:val="restar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показа теля</w:t>
            </w:r>
          </w:p>
        </w:tc>
        <w:tc>
          <w:tcPr>
            <w:tcW w:w="4851" w:type="dxa"/>
            <w:vMerge w:val="restar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415" w:type="dxa"/>
            <w:vMerge w:val="restar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461" w:type="dxa"/>
            <w:gridSpan w:val="8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947" w:type="dxa"/>
            <w:vMerge w:val="continue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51" w:type="dxa"/>
            <w:vMerge w:val="continue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continue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08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808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8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7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81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2025 г.</w:t>
            </w:r>
          </w:p>
        </w:tc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2026 г.</w:t>
            </w: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</w:t>
            </w:r>
          </w:p>
        </w:tc>
        <w:tc>
          <w:tcPr>
            <w:tcW w:w="796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</w:t>
            </w:r>
          </w:p>
        </w:tc>
        <w:tc>
          <w:tcPr>
            <w:tcW w:w="1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9" w:hRule="atLeast"/>
        </w:trPr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пожаров на объектах муниципальной собственности Белоярского района, единиц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процентов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100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Белоярского района прошедшего обучение в области гражданской обороны и защиты от чрезвычайных ситуаций, процентов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94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95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населенных пунктов, в которых проводятся противоэпидемиологические мероприятия по снижению численности кровососущих комаров и барьерной дератизации, единиц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происшествий (в том числе гибели людей) в местах массового отдыха людей на водных объектах, единиц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показатели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баллов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94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</w:t>
            </w:r>
          </w:p>
        </w:tc>
        <w:tc>
          <w:tcPr>
            <w:tcW w:w="485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val="ru-RU"/>
              </w:rPr>
              <w:t>Доля</w:t>
            </w:r>
            <w:r>
              <w:rPr>
                <w:sz w:val="22"/>
                <w:szCs w:val="22"/>
                <w:highlight w:val="none"/>
              </w:rPr>
              <w:t xml:space="preserve"> принятых в эксплуатацию технических систем, входящих в состав </w:t>
            </w:r>
            <w:r>
              <w:rPr>
                <w:sz w:val="22"/>
                <w:szCs w:val="22"/>
                <w:highlight w:val="none"/>
                <w:lang w:val="ru-RU"/>
              </w:rPr>
              <w:t>городской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sz w:val="22"/>
                <w:szCs w:val="22"/>
                <w:highlight w:val="none"/>
                <w:lang w:val="ru-RU"/>
              </w:rPr>
              <w:t>системы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 xml:space="preserve"> видеонаблюдения</w:t>
            </w:r>
            <w:r>
              <w:rPr>
                <w:sz w:val="22"/>
                <w:szCs w:val="22"/>
                <w:highlight w:val="none"/>
              </w:rPr>
              <w:t xml:space="preserve"> на территории Белоярского района, процентов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4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75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85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90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90</w:t>
            </w:r>
          </w:p>
        </w:tc>
      </w:tr>
    </w:tbl>
    <w:p>
      <w:pPr>
        <w:ind w:left="0" w:leftChars="0" w:firstLine="0" w:firstLineChars="0"/>
        <w:jc w:val="both"/>
        <w:rPr>
          <w:sz w:val="23"/>
          <w:szCs w:val="23"/>
          <w:highlight w:val="none"/>
        </w:rPr>
      </w:pPr>
    </w:p>
    <w:p>
      <w:pPr>
        <w:jc w:val="both"/>
        <w:rPr>
          <w:rFonts w:hint="default"/>
          <w:sz w:val="23"/>
          <w:szCs w:val="23"/>
          <w:highlight w:val="none"/>
          <w:lang w:val="en-US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jc w:val="both"/>
        <w:rPr>
          <w:sz w:val="23"/>
          <w:szCs w:val="23"/>
          <w:highlight w:val="none"/>
        </w:rPr>
      </w:pPr>
    </w:p>
    <w:p>
      <w:pPr>
        <w:ind w:left="9923" w:hanging="10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ПРИЛОЖЕНИЕ</w:t>
      </w:r>
      <w:r>
        <w:rPr>
          <w:rFonts w:hint="default"/>
          <w:sz w:val="24"/>
          <w:szCs w:val="24"/>
          <w:lang w:val="ru-RU"/>
        </w:rPr>
        <w:t xml:space="preserve"> 2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от ______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4"/>
          <w:szCs w:val="24"/>
          <w:lang w:val="ru-RU"/>
        </w:rPr>
        <w:t>«Таблица 4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2744"/>
        <w:gridCol w:w="1517"/>
        <w:gridCol w:w="1214"/>
        <w:gridCol w:w="1104"/>
        <w:gridCol w:w="979"/>
        <w:gridCol w:w="995"/>
        <w:gridCol w:w="1023"/>
        <w:gridCol w:w="927"/>
        <w:gridCol w:w="914"/>
        <w:gridCol w:w="1049"/>
        <w:gridCol w:w="95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основ-ного меропри-ятия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17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21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899" w:type="dxa"/>
            <w:gridSpan w:val="9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95" w:type="dxa"/>
            <w:gridSpan w:val="8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1" w:hRule="atLeast"/>
        </w:trPr>
        <w:tc>
          <w:tcPr>
            <w:tcW w:w="15383" w:type="dxa"/>
            <w:gridSpan w:val="13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129,3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69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60,0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29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1" w:hRule="atLeast"/>
        </w:trPr>
        <w:tc>
          <w:tcPr>
            <w:tcW w:w="15383" w:type="dxa"/>
            <w:gridSpan w:val="13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890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609,7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629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655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1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655,1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655,1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945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56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4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 xml:space="preserve">2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789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6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973,8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277,9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88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default"/>
                <w:sz w:val="22"/>
                <w:szCs w:val="22"/>
                <w:lang w:val="ru-RU"/>
              </w:rPr>
              <w:t>78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278,6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722,8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608,3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17,5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17,5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  <w:t>4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 xml:space="preserve"> </w:t>
            </w:r>
            <w:r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  <w:t>633</w:t>
            </w:r>
            <w:r>
              <w:rPr>
                <w:rFonts w:eastAsia="Calibri"/>
                <w:sz w:val="22"/>
                <w:szCs w:val="22"/>
                <w:highlight w:val="none"/>
                <w:lang w:eastAsia="en-US"/>
              </w:rPr>
              <w:t>,</w:t>
            </w:r>
            <w:r>
              <w:rPr>
                <w:rFonts w:hint="default" w:eastAsia="Calibri"/>
                <w:sz w:val="22"/>
                <w:szCs w:val="22"/>
                <w:highlight w:val="none"/>
                <w:lang w:val="ru-RU" w:eastAsia="en-US"/>
              </w:rPr>
              <w:t>6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596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1 974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332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333,9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333,9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134</w:t>
            </w:r>
            <w:r>
              <w:rPr>
                <w:sz w:val="22"/>
                <w:szCs w:val="22"/>
                <w:highlight w:val="none"/>
              </w:rPr>
              <w:t> 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106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13 121,7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15 587,3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18 942,0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16 031,3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667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301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17 727,5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17 727,5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74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и развитие </w:t>
            </w:r>
            <w:r>
              <w:rPr>
                <w:sz w:val="22"/>
                <w:szCs w:val="22"/>
                <w:lang w:val="ru-RU"/>
              </w:rPr>
              <w:t>городской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системы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видеонаблюдения</w:t>
            </w:r>
            <w:r>
              <w:rPr>
                <w:sz w:val="22"/>
                <w:szCs w:val="22"/>
              </w:rPr>
              <w:t xml:space="preserve"> на территории Белоярского района (7)</w:t>
            </w:r>
          </w:p>
        </w:tc>
        <w:tc>
          <w:tcPr>
            <w:tcW w:w="1517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none"/>
              </w:rPr>
              <w:t>2 020,2</w:t>
            </w:r>
          </w:p>
        </w:tc>
        <w:tc>
          <w:tcPr>
            <w:tcW w:w="97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1 040,0</w:t>
            </w:r>
          </w:p>
        </w:tc>
        <w:tc>
          <w:tcPr>
            <w:tcW w:w="102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27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1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49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0,0</w:t>
            </w:r>
          </w:p>
        </w:tc>
        <w:tc>
          <w:tcPr>
            <w:tcW w:w="95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eastAsia="Calibri"/>
                <w:sz w:val="22"/>
                <w:szCs w:val="22"/>
                <w:lang w:val="ru-RU" w:eastAsia="en-US"/>
              </w:rPr>
            </w:pPr>
            <w:r>
              <w:rPr>
                <w:rFonts w:hint="default" w:eastAsia="Calibri"/>
                <w:sz w:val="22"/>
                <w:szCs w:val="22"/>
                <w:lang w:val="ru-RU"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517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152</w:t>
            </w:r>
            <w:r>
              <w:rPr>
                <w:sz w:val="22"/>
                <w:szCs w:val="22"/>
                <w:highlight w:val="none"/>
              </w:rPr>
              <w:t> 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364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5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14 690,4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19 592,7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22 204,7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17 </w:t>
            </w:r>
            <w:r>
              <w:rPr>
                <w:rFonts w:hint="default"/>
                <w:sz w:val="22"/>
                <w:szCs w:val="22"/>
                <w:lang w:val="ru-RU"/>
              </w:rPr>
              <w:t>907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5</w:t>
            </w:r>
            <w:r>
              <w:rPr>
                <w:rFonts w:hint="default"/>
                <w:sz w:val="22"/>
                <w:szCs w:val="22"/>
                <w:lang w:val="ru-RU"/>
              </w:rPr>
              <w:t>98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3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default"/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ru-RU"/>
              </w:rPr>
              <w:t>171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19 599,7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19 599,7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yellow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651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default"/>
                <w:sz w:val="22"/>
                <w:szCs w:val="22"/>
                <w:lang w:val="ru-RU"/>
              </w:rPr>
              <w:t>14</w:t>
            </w:r>
            <w:r>
              <w:rPr>
                <w:sz w:val="22"/>
                <w:szCs w:val="22"/>
              </w:rPr>
              <w:t>,</w:t>
            </w:r>
            <w:r>
              <w:rPr>
                <w:rFonts w:hint="default"/>
                <w:sz w:val="22"/>
                <w:szCs w:val="22"/>
                <w:lang w:val="ru-RU"/>
              </w:rPr>
              <w:t>0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47</w:t>
            </w:r>
            <w:r>
              <w:rPr>
                <w:sz w:val="22"/>
                <w:szCs w:val="22"/>
                <w:highlight w:val="none"/>
              </w:rPr>
              <w:t> 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713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14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085</w:t>
            </w:r>
            <w:r>
              <w:rPr>
                <w:sz w:val="22"/>
                <w:szCs w:val="22"/>
                <w:highlight w:val="none"/>
              </w:rPr>
              <w:t>,8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18 9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88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 xml:space="preserve">21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795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17 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293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993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8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567</w:t>
            </w:r>
            <w:r>
              <w:rPr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18 995,1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18 995,1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17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52</w:t>
            </w:r>
            <w:r>
              <w:rPr>
                <w:b/>
                <w:sz w:val="22"/>
                <w:szCs w:val="22"/>
                <w:highlight w:val="none"/>
              </w:rPr>
              <w:t> 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493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8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14 760,4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19 602,6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22 213,1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17 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915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605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180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19 607,9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19,607,9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4</w:t>
            </w:r>
            <w:r>
              <w:rPr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651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409,5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,0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4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</w:pPr>
            <w:r>
              <w:rPr>
                <w:b/>
                <w:sz w:val="22"/>
                <w:szCs w:val="22"/>
                <w:highlight w:val="none"/>
              </w:rPr>
              <w:t>1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47</w:t>
            </w:r>
            <w:r>
              <w:rPr>
                <w:b/>
                <w:sz w:val="22"/>
                <w:szCs w:val="22"/>
                <w:highlight w:val="none"/>
              </w:rPr>
              <w:t> 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842</w:t>
            </w:r>
            <w:r>
              <w:rPr>
                <w:b/>
                <w:sz w:val="22"/>
                <w:szCs w:val="22"/>
                <w:highlight w:val="none"/>
              </w:rPr>
              <w:t>,</w:t>
            </w:r>
            <w:r>
              <w:rPr>
                <w:rFonts w:hint="default"/>
                <w:b/>
                <w:sz w:val="22"/>
                <w:szCs w:val="22"/>
                <w:highlight w:val="none"/>
                <w:lang w:val="ru-RU"/>
              </w:rPr>
              <w:t>7</w:t>
            </w:r>
          </w:p>
        </w:tc>
        <w:tc>
          <w:tcPr>
            <w:tcW w:w="9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  <w:highlight w:val="none"/>
              </w:rPr>
            </w:pPr>
            <w:r>
              <w:rPr>
                <w:b/>
                <w:sz w:val="22"/>
                <w:szCs w:val="22"/>
                <w:highlight w:val="none"/>
              </w:rPr>
              <w:t>14 155,8</w:t>
            </w:r>
          </w:p>
        </w:tc>
        <w:tc>
          <w:tcPr>
            <w:tcW w:w="99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18 998,0</w:t>
            </w:r>
          </w:p>
        </w:tc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21 803,6</w:t>
            </w:r>
          </w:p>
        </w:tc>
        <w:tc>
          <w:tcPr>
            <w:tcW w:w="9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17 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301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001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9</w:t>
            </w:r>
          </w:p>
        </w:tc>
        <w:tc>
          <w:tcPr>
            <w:tcW w:w="10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8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575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19 003,3</w:t>
            </w: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/>
                <w:b/>
                <w:sz w:val="22"/>
                <w:szCs w:val="22"/>
                <w:lang w:val="ru-RU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19 003,3</w:t>
            </w:r>
          </w:p>
        </w:tc>
      </w:tr>
    </w:tbl>
    <w:p>
      <w:pPr>
        <w:jc w:val="right"/>
        <w:rPr>
          <w:rFonts w:hint="default"/>
          <w:sz w:val="24"/>
          <w:szCs w:val="24"/>
          <w:highlight w:val="none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>»</w:t>
      </w: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both"/>
        <w:rPr>
          <w:rFonts w:hint="default"/>
          <w:sz w:val="24"/>
          <w:szCs w:val="24"/>
          <w:highlight w:val="none"/>
          <w:lang w:val="ru-RU"/>
        </w:rPr>
      </w:pPr>
    </w:p>
    <w:p>
      <w:pPr>
        <w:ind w:left="9923" w:hanging="10"/>
        <w:jc w:val="center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РИЛОЖЕНИЕ</w:t>
      </w:r>
      <w:r>
        <w:rPr>
          <w:rFonts w:hint="default"/>
          <w:sz w:val="24"/>
          <w:szCs w:val="24"/>
          <w:lang w:val="ru-RU"/>
        </w:rPr>
        <w:t xml:space="preserve"> 3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от ______ 202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right"/>
        <w:rPr>
          <w:rFonts w:hint="default"/>
          <w:sz w:val="22"/>
          <w:szCs w:val="22"/>
          <w:lang w:val="ru-RU"/>
        </w:rPr>
      </w:pPr>
      <w:r>
        <w:rPr>
          <w:rFonts w:hint="default"/>
          <w:sz w:val="24"/>
          <w:szCs w:val="24"/>
          <w:lang w:val="ru-RU"/>
        </w:rPr>
        <w:t>«Таблица 5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  <w:lang w:val="ru-RU"/>
        </w:rPr>
        <w:t>Мероприятия</w:t>
      </w:r>
      <w:r>
        <w:rPr>
          <w:rFonts w:hint="default"/>
          <w:sz w:val="24"/>
          <w:szCs w:val="24"/>
          <w:highlight w:val="none"/>
          <w:lang w:val="ru-RU"/>
        </w:rPr>
        <w:t>, реализуемые на принципах проектного управления</w:t>
      </w:r>
    </w:p>
    <w:p>
      <w:pPr>
        <w:jc w:val="center"/>
        <w:rPr>
          <w:rFonts w:hint="default"/>
          <w:sz w:val="24"/>
          <w:szCs w:val="24"/>
          <w:highlight w:val="none"/>
          <w:lang w:val="ru-RU"/>
        </w:rPr>
      </w:pPr>
    </w:p>
    <w:tbl>
      <w:tblPr>
        <w:tblStyle w:val="3"/>
        <w:tblW w:w="15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9"/>
        <w:gridCol w:w="1267"/>
        <w:gridCol w:w="1296"/>
        <w:gridCol w:w="993"/>
        <w:gridCol w:w="1216"/>
        <w:gridCol w:w="1276"/>
        <w:gridCol w:w="1224"/>
        <w:gridCol w:w="1134"/>
        <w:gridCol w:w="715"/>
        <w:gridCol w:w="737"/>
        <w:gridCol w:w="750"/>
        <w:gridCol w:w="813"/>
        <w:gridCol w:w="787"/>
        <w:gridCol w:w="825"/>
        <w:gridCol w:w="865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tblHeader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портфеля проектов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проекта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>
              <w:t>Номер мероприятия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Номер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Срок реализации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74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Параметры финансового обеспечения (тыс.рублей)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Всего</w:t>
            </w:r>
          </w:p>
        </w:tc>
        <w:tc>
          <w:tcPr>
            <w:tcW w:w="63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" w:hRule="atLeast"/>
          <w:tblHeader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2019 г.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2020 г.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2021 г.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2022 г.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2023 г.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2024 г.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2025 г.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" w:hRule="atLeast"/>
          <w:tblHeader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00"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6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-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>
      <w:pPr>
        <w:widowControl w:val="0"/>
        <w:autoSpaceDE w:val="0"/>
        <w:autoSpaceDN w:val="0"/>
        <w:spacing w:before="22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highlight w:val="none"/>
          <w:lang w:val="ru-RU"/>
        </w:rPr>
        <w:t xml:space="preserve">   ».</w:t>
      </w:r>
    </w:p>
    <w:p>
      <w:pPr>
        <w:widowControl w:val="0"/>
        <w:autoSpaceDE w:val="0"/>
        <w:autoSpaceDN w:val="0"/>
        <w:spacing w:before="220"/>
        <w:jc w:val="both"/>
        <w:rPr>
          <w:sz w:val="24"/>
          <w:szCs w:val="24"/>
        </w:rPr>
      </w:pPr>
      <w:r>
        <w:rPr>
          <w:sz w:val="24"/>
          <w:szCs w:val="24"/>
        </w:rPr>
        <w:t>&lt;*&gt; Муниципальной программой не предусмотрены мероприятия, реализуемые на принципах проектного управления.</w:t>
      </w:r>
    </w:p>
    <w:p>
      <w:pPr>
        <w:jc w:val="both"/>
        <w:rPr>
          <w:rFonts w:hint="default"/>
          <w:sz w:val="24"/>
          <w:szCs w:val="24"/>
          <w:highlight w:val="none"/>
          <w:lang w:val="ru-RU"/>
        </w:rPr>
      </w:pPr>
    </w:p>
    <w:p>
      <w:pPr>
        <w:jc w:val="both"/>
        <w:rPr>
          <w:rFonts w:hint="default"/>
          <w:sz w:val="24"/>
          <w:szCs w:val="24"/>
          <w:highlight w:val="none"/>
          <w:lang w:val="ru-RU"/>
        </w:rPr>
      </w:pPr>
    </w:p>
    <w:p>
      <w:pPr>
        <w:jc w:val="center"/>
        <w:rPr>
          <w:sz w:val="24"/>
          <w:szCs w:val="24"/>
        </w:rPr>
      </w:pPr>
      <w:r>
        <w:t>__________________</w:t>
      </w:r>
    </w:p>
    <w:p>
      <w:pPr>
        <w:jc w:val="right"/>
        <w:rPr>
          <w:rFonts w:hint="default"/>
          <w:sz w:val="24"/>
          <w:szCs w:val="24"/>
          <w:highlight w:val="none"/>
          <w:lang w:val="ru-RU"/>
        </w:rPr>
      </w:pPr>
    </w:p>
    <w:p>
      <w:pPr>
        <w:jc w:val="center"/>
        <w:rPr>
          <w:rFonts w:hint="default"/>
          <w:sz w:val="24"/>
          <w:szCs w:val="24"/>
          <w:highlight w:val="none"/>
          <w:lang w:val="ru-RU"/>
        </w:rPr>
        <w:sectPr>
          <w:pgSz w:w="16838" w:h="11906" w:orient="landscape"/>
          <w:pgMar w:top="1417" w:right="567" w:bottom="850" w:left="967" w:header="709" w:footer="709" w:gutter="0"/>
          <w:pgNumType w:start="1"/>
          <w:cols w:space="0" w:num="1"/>
          <w:titlePg/>
          <w:rtlGutter w:val="0"/>
          <w:docGrid w:linePitch="360" w:charSpace="0"/>
        </w:sectPr>
      </w:pPr>
    </w:p>
    <w:p>
      <w:pPr>
        <w:jc w:val="both"/>
        <w:rPr>
          <w:sz w:val="23"/>
          <w:szCs w:val="23"/>
          <w:highlight w:val="none"/>
        </w:rPr>
      </w:pPr>
    </w:p>
    <w:sectPr>
      <w:pgSz w:w="11906" w:h="16838"/>
      <w:pgMar w:top="567" w:right="851" w:bottom="567" w:left="1418" w:header="709" w:footer="709" w:gutter="0"/>
      <w:pgNumType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notBeside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3</w:t>
    </w:r>
    <w:r>
      <w:rPr>
        <w:rStyle w:val="5"/>
        <w:sz w:val="24"/>
        <w:szCs w:val="24"/>
      </w:rPr>
      <w:fldChar w:fldCharType="end"/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A118F"/>
    <w:multiLevelType w:val="singleLevel"/>
    <w:tmpl w:val="D72A118F"/>
    <w:lvl w:ilvl="0" w:tentative="0">
      <w:start w:val="2"/>
      <w:numFmt w:val="decimal"/>
      <w:suff w:val="space"/>
      <w:lvlText w:val="%1)"/>
      <w:lvlJc w:val="left"/>
      <w:pPr>
        <w:ind w:left="70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5396A"/>
    <w:rsid w:val="00170636"/>
    <w:rsid w:val="00171A18"/>
    <w:rsid w:val="00172A5E"/>
    <w:rsid w:val="00183426"/>
    <w:rsid w:val="00186FA9"/>
    <w:rsid w:val="001918C8"/>
    <w:rsid w:val="001921A8"/>
    <w:rsid w:val="001940FF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  <w:rsid w:val="100304B0"/>
    <w:rsid w:val="14556730"/>
    <w:rsid w:val="145F1D77"/>
    <w:rsid w:val="16FE31E8"/>
    <w:rsid w:val="1726181D"/>
    <w:rsid w:val="1DCD1148"/>
    <w:rsid w:val="261F3550"/>
    <w:rsid w:val="47D024BA"/>
    <w:rsid w:val="49F81F4B"/>
    <w:rsid w:val="4A0D2B58"/>
    <w:rsid w:val="5020018B"/>
    <w:rsid w:val="768C4F65"/>
    <w:rsid w:val="7C110482"/>
    <w:rsid w:val="7D57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qFormat/>
    <w:uiPriority w:val="0"/>
    <w:pPr>
      <w:jc w:val="center"/>
    </w:pPr>
    <w:rPr>
      <w:sz w:val="24"/>
    </w:rPr>
  </w:style>
  <w:style w:type="paragraph" w:styleId="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5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4">
    <w:name w:val="ConsPlusCell"/>
    <w:qFormat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5">
    <w:name w:val="ConsPlusNormal Знак"/>
    <w:link w:val="11"/>
    <w:qFormat/>
    <w:locked/>
    <w:uiPriority w:val="0"/>
    <w:rPr>
      <w:rFonts w:ascii="Arial" w:hAnsi="Arial" w:cs="Arial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5</Pages>
  <Words>978</Words>
  <Characters>5576</Characters>
  <Lines>46</Lines>
  <Paragraphs>13</Paragraphs>
  <TotalTime>9</TotalTime>
  <ScaleCrop>false</ScaleCrop>
  <LinksUpToDate>false</LinksUpToDate>
  <CharactersWithSpaces>6541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2021-12-27T04:24:00Z</dcterms:created>
  <dc:creator>А.Н.Гончаров</dc:creator>
  <cp:lastModifiedBy>BraginVV</cp:lastModifiedBy>
  <cp:lastPrinted>2023-01-17T12:20:00Z</cp:lastPrinted>
  <dcterms:modified xsi:type="dcterms:W3CDTF">2023-01-23T06:28:02Z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ED1725B50E154A489ABA00389E5B7984</vt:lpwstr>
  </property>
</Properties>
</file>