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4721F">
      <w:pPr>
        <w:pStyle w:val="9"/>
      </w:pPr>
      <w:r>
        <w:rPr>
          <w:sz w:val="20"/>
        </w:rPr>
        <w:t xml:space="preserve">Документ предоставлен </w:t>
      </w:r>
      <w:r>
        <w:fldChar w:fldCharType="begin"/>
      </w:r>
      <w:r>
        <w:instrText xml:space="preserve"> HYPERLINK "https://www.consultant.ru" \h </w:instrText>
      </w:r>
      <w:r>
        <w:fldChar w:fldCharType="separate"/>
      </w:r>
      <w:r>
        <w:rPr>
          <w:color w:val="0000FF"/>
          <w:sz w:val="20"/>
        </w:rPr>
        <w:t>КонсультантПлюс</w:t>
      </w:r>
      <w:r>
        <w:rPr>
          <w:color w:val="0000FF"/>
          <w:sz w:val="20"/>
        </w:rPr>
        <w:fldChar w:fldCharType="end"/>
      </w:r>
      <w:r>
        <w:rPr>
          <w:sz w:val="20"/>
        </w:rPr>
        <w:br w:type="textWrapping"/>
      </w:r>
    </w:p>
    <w:p w14:paraId="227DB1E6">
      <w:pPr>
        <w:pStyle w:val="4"/>
        <w:jc w:val="both"/>
        <w:outlineLvl w:val="0"/>
      </w:pPr>
    </w:p>
    <w:p w14:paraId="42CC0A6E">
      <w:pPr>
        <w:pStyle w:val="6"/>
        <w:jc w:val="center"/>
        <w:outlineLvl w:val="0"/>
      </w:pPr>
      <w:r>
        <w:rPr>
          <w:sz w:val="20"/>
        </w:rPr>
        <w:t>ПРАВИТЕЛЬСТВО РОССИЙСКОЙ ФЕДЕРАЦИИ</w:t>
      </w:r>
    </w:p>
    <w:p w14:paraId="26B6DDEC">
      <w:pPr>
        <w:pStyle w:val="6"/>
        <w:jc w:val="center"/>
      </w:pPr>
    </w:p>
    <w:p w14:paraId="139E8B89">
      <w:pPr>
        <w:pStyle w:val="6"/>
        <w:jc w:val="center"/>
      </w:pPr>
      <w:r>
        <w:rPr>
          <w:sz w:val="20"/>
        </w:rPr>
        <w:t>РАСПОРЯЖЕНИЕ</w:t>
      </w:r>
    </w:p>
    <w:p w14:paraId="7707461D">
      <w:pPr>
        <w:pStyle w:val="6"/>
        <w:jc w:val="center"/>
      </w:pPr>
      <w:r>
        <w:rPr>
          <w:sz w:val="20"/>
        </w:rPr>
        <w:t>от 24 октября 2023 г. N 2958-р</w:t>
      </w:r>
    </w:p>
    <w:p w14:paraId="184C76F7">
      <w:pPr>
        <w:pStyle w:val="4"/>
        <w:jc w:val="both"/>
      </w:pPr>
    </w:p>
    <w:p w14:paraId="41847A26">
      <w:pPr>
        <w:pStyle w:val="4"/>
        <w:ind w:firstLine="540"/>
        <w:jc w:val="both"/>
      </w:pPr>
      <w:r>
        <w:rPr>
          <w:sz w:val="20"/>
        </w:rPr>
        <w:t xml:space="preserve">1. Утвердить прилагаемую разработанную совместно с Банком России и одобренную Советом директоров Банка России </w:t>
      </w:r>
      <w:r>
        <w:fldChar w:fldCharType="begin"/>
      </w:r>
      <w:r>
        <w:instrText xml:space="preserve"> HYPERLINK \l "P25" \h </w:instrText>
      </w:r>
      <w:r>
        <w:fldChar w:fldCharType="separate"/>
      </w:r>
      <w:r>
        <w:rPr>
          <w:color w:val="0000FF"/>
          <w:sz w:val="20"/>
        </w:rPr>
        <w:t>Стратегию</w:t>
      </w:r>
      <w:r>
        <w:rPr>
          <w:color w:val="0000FF"/>
          <w:sz w:val="20"/>
        </w:rPr>
        <w:fldChar w:fldCharType="end"/>
      </w:r>
      <w:r>
        <w:rPr>
          <w:sz w:val="20"/>
        </w:rPr>
        <w:t xml:space="preserve"> повышения финансовой грамотности и формирования финансовой культуры до 2030 года (далее - Стратегия).</w:t>
      </w:r>
    </w:p>
    <w:p w14:paraId="6FFEB43E">
      <w:pPr>
        <w:pStyle w:val="4"/>
        <w:spacing w:before="200"/>
        <w:ind w:firstLine="540"/>
        <w:jc w:val="both"/>
      </w:pPr>
      <w:r>
        <w:rPr>
          <w:sz w:val="20"/>
        </w:rPr>
        <w:t xml:space="preserve">2. Минфину России совместно с Банком России разработать с привлечением заинтересованных федеральных органов исполнительной власти и организаций и утвердить в 2-месячный срок </w:t>
      </w:r>
      <w:r>
        <w:fldChar w:fldCharType="begin"/>
      </w:r>
      <w:r>
        <w:instrText xml:space="preserve"> HYPERLINK "https://login.consultant.ru/link/?req=doc&amp;base=LAW&amp;n=467312&amp;dst=100004" \h </w:instrText>
      </w:r>
      <w:r>
        <w:fldChar w:fldCharType="separate"/>
      </w:r>
      <w:r>
        <w:rPr>
          <w:color w:val="0000FF"/>
          <w:sz w:val="20"/>
        </w:rPr>
        <w:t>план</w:t>
      </w:r>
      <w:r>
        <w:rPr>
          <w:color w:val="0000FF"/>
          <w:sz w:val="20"/>
        </w:rPr>
        <w:fldChar w:fldCharType="end"/>
      </w:r>
      <w:r>
        <w:rPr>
          <w:sz w:val="20"/>
        </w:rPr>
        <w:t xml:space="preserve"> мероприятий ("дорожную карту") по реализации </w:t>
      </w:r>
      <w:r>
        <w:fldChar w:fldCharType="begin"/>
      </w:r>
      <w:r>
        <w:instrText xml:space="preserve"> HYPERLINK \l "P25" \h </w:instrText>
      </w:r>
      <w:r>
        <w:fldChar w:fldCharType="separate"/>
      </w:r>
      <w:r>
        <w:rPr>
          <w:color w:val="0000FF"/>
          <w:sz w:val="20"/>
        </w:rPr>
        <w:t>Стратегии</w:t>
      </w:r>
      <w:r>
        <w:rPr>
          <w:color w:val="0000FF"/>
          <w:sz w:val="20"/>
        </w:rPr>
        <w:fldChar w:fldCharType="end"/>
      </w:r>
      <w:r>
        <w:rPr>
          <w:sz w:val="20"/>
        </w:rPr>
        <w:t>.</w:t>
      </w:r>
    </w:p>
    <w:p w14:paraId="2B86D288">
      <w:pPr>
        <w:pStyle w:val="4"/>
        <w:spacing w:before="200"/>
        <w:ind w:firstLine="540"/>
        <w:jc w:val="both"/>
      </w:pPr>
      <w:r>
        <w:rPr>
          <w:sz w:val="20"/>
        </w:rPr>
        <w:t xml:space="preserve">3. Федеральным органам исполнительной власти руководствоваться положениями </w:t>
      </w:r>
      <w:r>
        <w:fldChar w:fldCharType="begin"/>
      </w:r>
      <w:r>
        <w:instrText xml:space="preserve"> HYPERLINK \l "P25" \h </w:instrText>
      </w:r>
      <w:r>
        <w:fldChar w:fldCharType="separate"/>
      </w:r>
      <w:r>
        <w:rPr>
          <w:color w:val="0000FF"/>
          <w:sz w:val="20"/>
        </w:rPr>
        <w:t>Стратегии</w:t>
      </w:r>
      <w:r>
        <w:rPr>
          <w:color w:val="0000FF"/>
          <w:sz w:val="20"/>
        </w:rPr>
        <w:fldChar w:fldCharType="end"/>
      </w:r>
      <w:r>
        <w:rPr>
          <w:sz w:val="20"/>
        </w:rPr>
        <w:t xml:space="preserve"> при разработке и реализации государственных программ Российской Федерации и иных документов.</w:t>
      </w:r>
    </w:p>
    <w:p w14:paraId="67A7B0C0">
      <w:pPr>
        <w:pStyle w:val="4"/>
        <w:spacing w:before="200"/>
        <w:ind w:firstLine="540"/>
        <w:jc w:val="both"/>
      </w:pPr>
      <w:r>
        <w:rPr>
          <w:sz w:val="20"/>
        </w:rPr>
        <w:t xml:space="preserve">4. Рекомендовать органам государственной власти субъектов Российской Федерации и органам местного самоуправления руководствоваться положениями </w:t>
      </w:r>
      <w:r>
        <w:fldChar w:fldCharType="begin"/>
      </w:r>
      <w:r>
        <w:instrText xml:space="preserve"> HYPERLINK \l "P25" \h </w:instrText>
      </w:r>
      <w:r>
        <w:fldChar w:fldCharType="separate"/>
      </w:r>
      <w:r>
        <w:rPr>
          <w:color w:val="0000FF"/>
          <w:sz w:val="20"/>
        </w:rPr>
        <w:t>Стратегии</w:t>
      </w:r>
      <w:r>
        <w:rPr>
          <w:color w:val="0000FF"/>
          <w:sz w:val="20"/>
        </w:rPr>
        <w:fldChar w:fldCharType="end"/>
      </w:r>
      <w:r>
        <w:rPr>
          <w:sz w:val="20"/>
        </w:rPr>
        <w:t xml:space="preserve"> при разработке и реализации государственных программ субъектов Российской Федерации (региональных программ), направленных на повышение финансовой грамотности и формирование финансовой культуры, и иных документов.</w:t>
      </w:r>
    </w:p>
    <w:p w14:paraId="4CADACCB">
      <w:pPr>
        <w:pStyle w:val="4"/>
        <w:spacing w:before="200"/>
        <w:ind w:firstLine="540"/>
        <w:jc w:val="both"/>
      </w:pPr>
      <w:r>
        <w:rPr>
          <w:sz w:val="20"/>
        </w:rPr>
        <w:t>5. Настоящее распоряжение вступает в силу с 1 января 2024 г.</w:t>
      </w:r>
    </w:p>
    <w:p w14:paraId="3D072A04">
      <w:pPr>
        <w:pStyle w:val="4"/>
        <w:jc w:val="both"/>
      </w:pPr>
    </w:p>
    <w:p w14:paraId="69FD918A">
      <w:pPr>
        <w:pStyle w:val="4"/>
        <w:jc w:val="right"/>
      </w:pPr>
      <w:r>
        <w:rPr>
          <w:sz w:val="20"/>
        </w:rPr>
        <w:t>Председатель Правительства</w:t>
      </w:r>
    </w:p>
    <w:p w14:paraId="146CD8A4">
      <w:pPr>
        <w:pStyle w:val="4"/>
        <w:jc w:val="right"/>
      </w:pPr>
      <w:r>
        <w:rPr>
          <w:sz w:val="20"/>
        </w:rPr>
        <w:t>Российской Федерации</w:t>
      </w:r>
    </w:p>
    <w:p w14:paraId="354D6E50">
      <w:pPr>
        <w:pStyle w:val="4"/>
        <w:jc w:val="right"/>
      </w:pPr>
      <w:r>
        <w:rPr>
          <w:sz w:val="20"/>
        </w:rPr>
        <w:t>М.МИШУСТИН</w:t>
      </w:r>
    </w:p>
    <w:p w14:paraId="41EA8583">
      <w:pPr>
        <w:pStyle w:val="4"/>
        <w:jc w:val="both"/>
      </w:pPr>
    </w:p>
    <w:p w14:paraId="093576CD">
      <w:pPr>
        <w:pStyle w:val="4"/>
        <w:jc w:val="both"/>
      </w:pPr>
    </w:p>
    <w:p w14:paraId="779DC7A1">
      <w:pPr>
        <w:pStyle w:val="4"/>
        <w:jc w:val="both"/>
      </w:pPr>
    </w:p>
    <w:p w14:paraId="5C1E2ADD">
      <w:pPr>
        <w:pStyle w:val="4"/>
        <w:jc w:val="both"/>
      </w:pPr>
    </w:p>
    <w:p w14:paraId="62F09C84">
      <w:pPr>
        <w:pStyle w:val="4"/>
        <w:jc w:val="both"/>
      </w:pPr>
    </w:p>
    <w:p w14:paraId="0C093518">
      <w:pPr>
        <w:pStyle w:val="4"/>
        <w:jc w:val="right"/>
        <w:outlineLvl w:val="0"/>
      </w:pPr>
      <w:r>
        <w:rPr>
          <w:sz w:val="20"/>
        </w:rPr>
        <w:t>Утверждена</w:t>
      </w:r>
    </w:p>
    <w:p w14:paraId="1BBDEECC">
      <w:pPr>
        <w:pStyle w:val="4"/>
        <w:jc w:val="right"/>
      </w:pPr>
      <w:r>
        <w:rPr>
          <w:sz w:val="20"/>
        </w:rPr>
        <w:t>распоряжением Правительства</w:t>
      </w:r>
    </w:p>
    <w:p w14:paraId="38D8AB16">
      <w:pPr>
        <w:pStyle w:val="4"/>
        <w:jc w:val="right"/>
      </w:pPr>
      <w:r>
        <w:rPr>
          <w:sz w:val="20"/>
        </w:rPr>
        <w:t>Российской Федерации</w:t>
      </w:r>
    </w:p>
    <w:p w14:paraId="6C7D780B">
      <w:pPr>
        <w:pStyle w:val="4"/>
        <w:jc w:val="right"/>
      </w:pPr>
      <w:r>
        <w:rPr>
          <w:sz w:val="20"/>
        </w:rPr>
        <w:t>от 24 октября 2023 г. N 2958-р</w:t>
      </w:r>
    </w:p>
    <w:p w14:paraId="5FA5CD42">
      <w:pPr>
        <w:pStyle w:val="4"/>
        <w:jc w:val="both"/>
      </w:pPr>
    </w:p>
    <w:p w14:paraId="5CCCD1B9">
      <w:pPr>
        <w:pStyle w:val="6"/>
        <w:jc w:val="center"/>
      </w:pPr>
      <w:bookmarkStart w:id="0" w:name="P25"/>
      <w:bookmarkEnd w:id="0"/>
      <w:r>
        <w:rPr>
          <w:sz w:val="20"/>
        </w:rPr>
        <w:t>СТРАТЕГИЯ</w:t>
      </w:r>
    </w:p>
    <w:p w14:paraId="615A3724">
      <w:pPr>
        <w:pStyle w:val="6"/>
        <w:jc w:val="center"/>
      </w:pPr>
      <w:r>
        <w:rPr>
          <w:sz w:val="20"/>
        </w:rPr>
        <w:t>ПОВЫШЕНИЯ ФИНАНСОВОЙ ГРАМОТНОСТИ И ФОРМИРОВАНИЯ ФИНАНСОВОЙ</w:t>
      </w:r>
    </w:p>
    <w:p w14:paraId="2BEF897E">
      <w:pPr>
        <w:pStyle w:val="6"/>
        <w:jc w:val="center"/>
      </w:pPr>
      <w:r>
        <w:rPr>
          <w:sz w:val="20"/>
        </w:rPr>
        <w:t>КУЛЬТУРЫ ДО 2030 ГОДА</w:t>
      </w:r>
    </w:p>
    <w:p w14:paraId="5FEB8DDD">
      <w:pPr>
        <w:pStyle w:val="4"/>
        <w:jc w:val="both"/>
      </w:pPr>
    </w:p>
    <w:p w14:paraId="51234FA8">
      <w:pPr>
        <w:pStyle w:val="6"/>
        <w:jc w:val="center"/>
        <w:outlineLvl w:val="1"/>
      </w:pPr>
      <w:r>
        <w:rPr>
          <w:sz w:val="20"/>
        </w:rPr>
        <w:t>I. Общие положения</w:t>
      </w:r>
    </w:p>
    <w:p w14:paraId="251EDCB9">
      <w:pPr>
        <w:pStyle w:val="4"/>
        <w:jc w:val="both"/>
      </w:pPr>
    </w:p>
    <w:p w14:paraId="1F9B3C97">
      <w:pPr>
        <w:pStyle w:val="4"/>
        <w:ind w:firstLine="540"/>
        <w:jc w:val="both"/>
      </w:pPr>
      <w:r>
        <w:rPr>
          <w:sz w:val="20"/>
        </w:rPr>
        <w:t>Устойчивое повышение качества и уровня жизни граждан требует повышения финансовой грамотности и формирования финансовой культуры, обеспечения финансового благополучия граждан, осознанного использования ими финансовых продуктов и услуг, разумного принятия финансовых решений, инвестирования и управления рисками.</w:t>
      </w:r>
    </w:p>
    <w:p w14:paraId="469B4EA1">
      <w:pPr>
        <w:pStyle w:val="4"/>
        <w:spacing w:before="200"/>
        <w:ind w:firstLine="540"/>
        <w:jc w:val="both"/>
      </w:pPr>
      <w:r>
        <w:rPr>
          <w:sz w:val="20"/>
        </w:rPr>
        <w:t xml:space="preserve">В период 2017 - 2023 годов повышение финансовой грамотности осуществлялось в рамках </w:t>
      </w:r>
      <w:r>
        <w:fldChar w:fldCharType="begin"/>
      </w:r>
      <w:r>
        <w:instrText xml:space="preserve"> HYPERLINK "https://login.consultant.ru/link/?req=doc&amp;base=LAW&amp;n=278903&amp;dst=100011" \h </w:instrText>
      </w:r>
      <w:r>
        <w:fldChar w:fldCharType="separate"/>
      </w:r>
      <w:r>
        <w:rPr>
          <w:color w:val="0000FF"/>
          <w:sz w:val="20"/>
        </w:rPr>
        <w:t>Стратегии</w:t>
      </w:r>
      <w:r>
        <w:rPr>
          <w:color w:val="0000FF"/>
          <w:sz w:val="20"/>
        </w:rPr>
        <w:fldChar w:fldCharType="end"/>
      </w:r>
      <w:r>
        <w:rPr>
          <w:sz w:val="20"/>
        </w:rPr>
        <w:t xml:space="preserve"> повышения финансовой грамотности в Российской Федерации, утвержденной распоряжением Правительства Российской Федерации от 25 сентября 2017 г. N 2039-р (далее - Стратегия 2017 - 2023 годов).</w:t>
      </w:r>
    </w:p>
    <w:p w14:paraId="4E8F2DE6">
      <w:pPr>
        <w:pStyle w:val="4"/>
        <w:spacing w:before="200"/>
        <w:ind w:firstLine="540"/>
        <w:jc w:val="both"/>
      </w:pPr>
      <w:r>
        <w:rPr>
          <w:sz w:val="20"/>
        </w:rPr>
        <w:t>Стратегия повышения финансовой грамотности и формирования финансовой культуры до 2030 года (далее - Стратегия) определяет приоритеты, цели, задачи и инструменты их достижения на период до 2030 года в сфере повышения финансовой грамотности и формирования финансовой культуры граждан, укрепления системы финансового образования и просвещения, обеспечения прав и интересов потребителей финансовых услуг, финансовой безопасности граждан.</w:t>
      </w:r>
    </w:p>
    <w:p w14:paraId="7CBAAE70">
      <w:pPr>
        <w:pStyle w:val="4"/>
        <w:spacing w:before="200"/>
        <w:ind w:firstLine="540"/>
        <w:jc w:val="both"/>
      </w:pPr>
      <w:r>
        <w:rPr>
          <w:sz w:val="20"/>
        </w:rPr>
        <w:t xml:space="preserve">Стратегия призвана способствовать достижению национальных целей развития Российской Федерации, определенных </w:t>
      </w:r>
      <w:r>
        <w:fldChar w:fldCharType="begin"/>
      </w:r>
      <w:r>
        <w:instrText xml:space="preserve"> HYPERLINK "https://login.consultant.ru/link/?req=doc&amp;base=LAW&amp;n=357927&amp;dst=100007" \h </w:instrText>
      </w:r>
      <w:r>
        <w:fldChar w:fldCharType="separate"/>
      </w:r>
      <w:r>
        <w:rPr>
          <w:color w:val="0000FF"/>
          <w:sz w:val="20"/>
        </w:rPr>
        <w:t>Указом</w:t>
      </w:r>
      <w:r>
        <w:rPr>
          <w:color w:val="0000FF"/>
          <w:sz w:val="20"/>
        </w:rPr>
        <w:fldChar w:fldCharType="end"/>
      </w:r>
      <w:r>
        <w:rPr>
          <w:sz w:val="20"/>
        </w:rPr>
        <w:t xml:space="preserve"> Президента Российской Федерации от 21 июля 2020 г. N 474 "О национальных целях развития Российской Федерации на период до 2030 года".</w:t>
      </w:r>
    </w:p>
    <w:p w14:paraId="4CDFB0D3">
      <w:pPr>
        <w:pStyle w:val="4"/>
        <w:spacing w:before="200"/>
        <w:ind w:firstLine="540"/>
        <w:jc w:val="both"/>
      </w:pPr>
      <w:r>
        <w:rPr>
          <w:sz w:val="20"/>
        </w:rPr>
        <w:t xml:space="preserve">Стратегия основывается на </w:t>
      </w:r>
      <w:r>
        <w:fldChar w:fldCharType="begin"/>
      </w:r>
      <w:r>
        <w:instrText xml:space="preserve"> HYPERLINK "https://login.consultant.ru/link/?req=doc&amp;base=LAW&amp;n=2875"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Федеральном </w:t>
      </w:r>
      <w:r>
        <w:fldChar w:fldCharType="begin"/>
      </w:r>
      <w:r>
        <w:instrText xml:space="preserve"> HYPERLINK "https://login.consultant.ru/link/?req=doc&amp;base=LAW&amp;n=480785&amp;dst=1" \h </w:instrText>
      </w:r>
      <w:r>
        <w:fldChar w:fldCharType="separate"/>
      </w:r>
      <w:r>
        <w:rPr>
          <w:color w:val="0000FF"/>
          <w:sz w:val="20"/>
        </w:rPr>
        <w:t>законе</w:t>
      </w:r>
      <w:r>
        <w:rPr>
          <w:color w:val="0000FF"/>
          <w:sz w:val="20"/>
        </w:rPr>
        <w:fldChar w:fldCharType="end"/>
      </w:r>
      <w:r>
        <w:rPr>
          <w:sz w:val="20"/>
        </w:rPr>
        <w:t xml:space="preserve"> "О стратегическом планировании в Российской Федерации", </w:t>
      </w:r>
      <w:r>
        <w:fldChar w:fldCharType="begin"/>
      </w:r>
      <w:r>
        <w:instrText xml:space="preserve"> HYPERLINK "https://login.consultant.ru/link/?req=doc&amp;base=LAW&amp;n=482748&amp;dst=100022" \h </w:instrText>
      </w:r>
      <w:r>
        <w:fldChar w:fldCharType="separate"/>
      </w:r>
      <w:r>
        <w:rPr>
          <w:color w:val="0000FF"/>
          <w:sz w:val="20"/>
        </w:rPr>
        <w:t>Законе</w:t>
      </w:r>
      <w:r>
        <w:rPr>
          <w:color w:val="0000FF"/>
          <w:sz w:val="20"/>
        </w:rPr>
        <w:fldChar w:fldCharType="end"/>
      </w:r>
      <w:r>
        <w:rPr>
          <w:sz w:val="20"/>
        </w:rPr>
        <w:t xml:space="preserve"> Российской Федерации "О защите прав потребителей", Федеральном </w:t>
      </w:r>
      <w:r>
        <w:fldChar w:fldCharType="begin"/>
      </w:r>
      <w:r>
        <w:instrText xml:space="preserve"> HYPERLINK "https://login.consultant.ru/link/?req=doc&amp;base=LAW&amp;n=483019&amp;dst=100093" \h </w:instrText>
      </w:r>
      <w:r>
        <w:fldChar w:fldCharType="separate"/>
      </w:r>
      <w:r>
        <w:rPr>
          <w:color w:val="0000FF"/>
          <w:sz w:val="20"/>
        </w:rPr>
        <w:t>законе</w:t>
      </w:r>
      <w:r>
        <w:rPr>
          <w:color w:val="0000FF"/>
          <w:sz w:val="20"/>
        </w:rPr>
        <w:fldChar w:fldCharType="end"/>
      </w:r>
      <w:r>
        <w:rPr>
          <w:sz w:val="20"/>
        </w:rPr>
        <w:t xml:space="preserve"> "Об образовании в Российской Федерации", других федеральных законах, а также на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финансовой грамотности и формирования финансовой культуры граждан.</w:t>
      </w:r>
    </w:p>
    <w:p w14:paraId="51D4B9E9">
      <w:pPr>
        <w:pStyle w:val="4"/>
        <w:spacing w:before="200"/>
        <w:ind w:firstLine="540"/>
        <w:jc w:val="both"/>
      </w:pPr>
      <w:r>
        <w:rPr>
          <w:sz w:val="20"/>
        </w:rPr>
        <w:t>Стратегия учитывает принятые документы, связанные с вопросами повышения финансовой грамотности и формирования финансовой культуры граждан, в том числе:</w:t>
      </w:r>
    </w:p>
    <w:p w14:paraId="2F0C3041">
      <w:pPr>
        <w:pStyle w:val="4"/>
        <w:spacing w:before="200"/>
        <w:ind w:firstLine="540"/>
        <w:jc w:val="both"/>
      </w:pPr>
      <w:r>
        <w:rPr>
          <w:sz w:val="20"/>
        </w:rPr>
        <w:t xml:space="preserve">государственную </w:t>
      </w:r>
      <w:r>
        <w:fldChar w:fldCharType="begin"/>
      </w:r>
      <w:r>
        <w:instrText xml:space="preserve"> HYPERLINK "https://login.consultant.ru/link/?req=doc&amp;base=LAW&amp;n=486043&amp;dst=20190" \h </w:instrText>
      </w:r>
      <w:r>
        <w:fldChar w:fldCharType="separate"/>
      </w:r>
      <w:r>
        <w:rPr>
          <w:color w:val="0000FF"/>
          <w:sz w:val="20"/>
        </w:rPr>
        <w:t>программу</w:t>
      </w:r>
      <w:r>
        <w:rPr>
          <w:color w:val="0000FF"/>
          <w:sz w:val="20"/>
        </w:rPr>
        <w:fldChar w:fldCharType="end"/>
      </w:r>
      <w:r>
        <w:rPr>
          <w:sz w:val="20"/>
        </w:rPr>
        <w:t xml:space="preserve"> Российской Федерации "Управление государственными финансами и регулирование финансовых рынков", утвержденную постановлением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w:t>
      </w:r>
    </w:p>
    <w:p w14:paraId="61FF42AF">
      <w:pPr>
        <w:pStyle w:val="4"/>
        <w:spacing w:before="200"/>
        <w:ind w:firstLine="540"/>
        <w:jc w:val="both"/>
      </w:pPr>
      <w:r>
        <w:rPr>
          <w:sz w:val="20"/>
        </w:rPr>
        <w:t xml:space="preserve">государственную </w:t>
      </w:r>
      <w:r>
        <w:fldChar w:fldCharType="begin"/>
      </w:r>
      <w:r>
        <w:instrText xml:space="preserve"> HYPERLINK "https://login.consultant.ru/link/?req=doc&amp;base=LAW&amp;n=493771&amp;dst=100019" \h </w:instrText>
      </w:r>
      <w:r>
        <w:fldChar w:fldCharType="separate"/>
      </w:r>
      <w:r>
        <w:rPr>
          <w:color w:val="0000FF"/>
          <w:sz w:val="20"/>
        </w:rPr>
        <w:t>программу</w:t>
      </w:r>
      <w:r>
        <w:rPr>
          <w:color w:val="0000FF"/>
          <w:sz w:val="20"/>
        </w:rPr>
        <w:fldChar w:fldCharType="end"/>
      </w:r>
      <w:r>
        <w:rPr>
          <w:sz w:val="20"/>
        </w:rPr>
        <w:t xml:space="preserve">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p>
    <w:p w14:paraId="0427F852">
      <w:pPr>
        <w:pStyle w:val="4"/>
        <w:spacing w:before="200"/>
        <w:ind w:firstLine="540"/>
        <w:jc w:val="both"/>
      </w:pPr>
      <w:r>
        <w:fldChar w:fldCharType="begin"/>
      </w:r>
      <w:r>
        <w:instrText xml:space="preserve"> HYPERLINK "https://login.consultant.ru/link/?req=doc&amp;base=LAW&amp;n=180402&amp;dst=100009" \h </w:instrText>
      </w:r>
      <w:r>
        <w:fldChar w:fldCharType="separate"/>
      </w:r>
      <w:r>
        <w:rPr>
          <w:color w:val="0000FF"/>
          <w:sz w:val="20"/>
        </w:rPr>
        <w:t>Стратегию</w:t>
      </w:r>
      <w:r>
        <w:rPr>
          <w:color w:val="0000FF"/>
          <w:sz w:val="20"/>
        </w:rPr>
        <w:fldChar w:fldCharType="end"/>
      </w:r>
      <w:r>
        <w:rPr>
          <w:sz w:val="20"/>
        </w:rPr>
        <w:t xml:space="preserve"> развития воспитания в Российской Федерации на период до 2025 года, утвержденную распоряжением Правительства Российской Федерации от 29 мая 2015 г. N 996-р;</w:t>
      </w:r>
    </w:p>
    <w:p w14:paraId="31AA1C77">
      <w:pPr>
        <w:pStyle w:val="4"/>
        <w:spacing w:before="200"/>
        <w:ind w:firstLine="540"/>
        <w:jc w:val="both"/>
      </w:pPr>
      <w:r>
        <w:rPr>
          <w:sz w:val="20"/>
        </w:rPr>
        <w:t>Стратегию государственной политики Российской Федерации в области защиты прав потребителей на период до 2030 года, утвержденную распоряжением Правительства Российской Федерации от 28 августа 2017 г. N 1837-р;</w:t>
      </w:r>
    </w:p>
    <w:p w14:paraId="69ACD7B0">
      <w:pPr>
        <w:pStyle w:val="4"/>
        <w:spacing w:before="200"/>
        <w:ind w:firstLine="540"/>
        <w:jc w:val="both"/>
      </w:pPr>
      <w:r>
        <w:rPr>
          <w:sz w:val="20"/>
        </w:rPr>
        <w:t xml:space="preserve">Единый </w:t>
      </w:r>
      <w:r>
        <w:fldChar w:fldCharType="begin"/>
      </w:r>
      <w:r>
        <w:instrText xml:space="preserve"> HYPERLINK "https://login.consultant.ru/link/?req=doc&amp;base=LAW&amp;n=398015" \h </w:instrText>
      </w:r>
      <w:r>
        <w:fldChar w:fldCharType="separate"/>
      </w:r>
      <w:r>
        <w:rPr>
          <w:color w:val="0000FF"/>
          <w:sz w:val="20"/>
        </w:rPr>
        <w:t>план</w:t>
      </w:r>
      <w:r>
        <w:rPr>
          <w:color w:val="0000FF"/>
          <w:sz w:val="20"/>
        </w:rPr>
        <w:fldChar w:fldCharType="end"/>
      </w:r>
      <w:r>
        <w:rPr>
          <w:sz w:val="20"/>
        </w:rPr>
        <w:t xml:space="preserve"> по достижению национальных целей развития Российской Федерации на период до 2024 года и на плановый период до 2030 года, утвержденный </w:t>
      </w:r>
      <w:r>
        <w:fldChar w:fldCharType="begin"/>
      </w:r>
      <w:r>
        <w:instrText xml:space="preserve"> HYPERLINK "https://login.consultant.ru/link/?req=doc&amp;base=LAW&amp;n=398016" \h </w:instrText>
      </w:r>
      <w:r>
        <w:fldChar w:fldCharType="separate"/>
      </w:r>
      <w:r>
        <w:rPr>
          <w:color w:val="0000FF"/>
          <w:sz w:val="20"/>
        </w:rPr>
        <w:t>распоряжением</w:t>
      </w:r>
      <w:r>
        <w:rPr>
          <w:color w:val="0000FF"/>
          <w:sz w:val="20"/>
        </w:rPr>
        <w:fldChar w:fldCharType="end"/>
      </w:r>
      <w:r>
        <w:rPr>
          <w:sz w:val="20"/>
        </w:rPr>
        <w:t xml:space="preserve"> Правительства Российской Федерации от 1 октября 2021 г. N 2765-р;</w:t>
      </w:r>
    </w:p>
    <w:p w14:paraId="086EE0A2">
      <w:pPr>
        <w:pStyle w:val="4"/>
        <w:spacing w:before="200"/>
        <w:ind w:firstLine="540"/>
        <w:jc w:val="both"/>
      </w:pPr>
      <w:r>
        <w:fldChar w:fldCharType="begin"/>
      </w:r>
      <w:r>
        <w:instrText xml:space="preserve"> HYPERLINK "https://login.consultant.ru/link/?req=doc&amp;base=LAW&amp;n=420869&amp;dst=100009" \h </w:instrText>
      </w:r>
      <w:r>
        <w:fldChar w:fldCharType="separate"/>
      </w:r>
      <w:r>
        <w:rPr>
          <w:color w:val="0000FF"/>
          <w:sz w:val="20"/>
        </w:rPr>
        <w:t>Концепцию</w:t>
      </w:r>
      <w:r>
        <w:rPr>
          <w:color w:val="0000FF"/>
          <w:sz w:val="20"/>
        </w:rPr>
        <w:fldChar w:fldCharType="end"/>
      </w:r>
      <w:r>
        <w:rPr>
          <w:sz w:val="20"/>
        </w:rPr>
        <w:t xml:space="preserve"> подготовки педагогических кадров для системы образования на период до 2030 года, утвержденную распоряжением Правительства Российской Федерации от 24 июня 2022 г. N 1688-р;</w:t>
      </w:r>
    </w:p>
    <w:p w14:paraId="74B68C4D">
      <w:pPr>
        <w:pStyle w:val="4"/>
        <w:spacing w:before="200"/>
        <w:ind w:firstLine="540"/>
        <w:jc w:val="both"/>
      </w:pPr>
      <w:r>
        <w:fldChar w:fldCharType="begin"/>
      </w:r>
      <w:r>
        <w:instrText xml:space="preserve"> HYPERLINK "https://login.consultant.ru/link/?req=doc&amp;base=LAW&amp;n=435331&amp;dst=100009" \h </w:instrText>
      </w:r>
      <w:r>
        <w:fldChar w:fldCharType="separate"/>
      </w:r>
      <w:r>
        <w:rPr>
          <w:color w:val="0000FF"/>
          <w:sz w:val="20"/>
        </w:rPr>
        <w:t>Концепцию</w:t>
      </w:r>
      <w:r>
        <w:rPr>
          <w:color w:val="0000FF"/>
          <w:sz w:val="20"/>
        </w:rPr>
        <w:fldChar w:fldCharType="end"/>
      </w:r>
      <w:r>
        <w:rPr>
          <w:sz w:val="20"/>
        </w:rPr>
        <w:t xml:space="preserve"> формирования и развития культуры информационной безопасности граждан Российской Федерации, утвержденную распоряжением Правительства Российской Федерации от 22 декабря 2022 г. N 4088-р;</w:t>
      </w:r>
    </w:p>
    <w:p w14:paraId="001602A2">
      <w:pPr>
        <w:pStyle w:val="4"/>
        <w:spacing w:before="200"/>
        <w:ind w:firstLine="540"/>
        <w:jc w:val="both"/>
      </w:pPr>
      <w:r>
        <w:fldChar w:fldCharType="begin"/>
      </w:r>
      <w:r>
        <w:instrText xml:space="preserve"> HYPERLINK "https://login.consultant.ru/link/?req=doc&amp;base=LAW&amp;n=465377&amp;dst=100176" \h </w:instrText>
      </w:r>
      <w:r>
        <w:fldChar w:fldCharType="separate"/>
      </w:r>
      <w:r>
        <w:rPr>
          <w:color w:val="0000FF"/>
          <w:sz w:val="20"/>
        </w:rPr>
        <w:t>Стратегию</w:t>
      </w:r>
      <w:r>
        <w:rPr>
          <w:color w:val="0000FF"/>
          <w:sz w:val="20"/>
        </w:rPr>
        <w:fldChar w:fldCharType="end"/>
      </w:r>
      <w:r>
        <w:rPr>
          <w:sz w:val="20"/>
        </w:rPr>
        <w:t xml:space="preserve"> развития финансового рынка Российской Федерации до 2030 года, утвержденную распоряжением Правительства Российской Федерации от 29 декабря 2022 г. N 4355-р;</w:t>
      </w:r>
    </w:p>
    <w:p w14:paraId="47C7D984">
      <w:pPr>
        <w:pStyle w:val="4"/>
        <w:spacing w:before="200"/>
        <w:ind w:firstLine="540"/>
        <w:jc w:val="both"/>
      </w:pPr>
      <w:r>
        <w:rPr>
          <w:sz w:val="20"/>
        </w:rPr>
        <w:t xml:space="preserve">Основные </w:t>
      </w:r>
      <w:r>
        <w:fldChar w:fldCharType="begin"/>
      </w:r>
      <w:r>
        <w:instrText xml:space="preserve"> HYPERLINK "https://login.consultant.ru/link/?req=doc&amp;base=LAW&amp;n=435343&amp;dst=100065" \h </w:instrText>
      </w:r>
      <w:r>
        <w:fldChar w:fldCharType="separate"/>
      </w:r>
      <w:r>
        <w:rPr>
          <w:color w:val="0000FF"/>
          <w:sz w:val="20"/>
        </w:rPr>
        <w:t>направления</w:t>
      </w:r>
      <w:r>
        <w:rPr>
          <w:color w:val="0000FF"/>
          <w:sz w:val="20"/>
        </w:rPr>
        <w:fldChar w:fldCharType="end"/>
      </w:r>
      <w:r>
        <w:rPr>
          <w:sz w:val="20"/>
        </w:rPr>
        <w:t xml:space="preserve"> развития финансового рынка Российской Федерации на 2023 год и период 2024 и 2025 годов, одобренные Советом директоров Центрального банка Российской Федерации 23 декабря 2022 г.</w:t>
      </w:r>
    </w:p>
    <w:p w14:paraId="39449733">
      <w:pPr>
        <w:pStyle w:val="4"/>
        <w:spacing w:before="200"/>
        <w:ind w:firstLine="540"/>
        <w:jc w:val="both"/>
      </w:pPr>
      <w:r>
        <w:rPr>
          <w:sz w:val="20"/>
        </w:rPr>
        <w:t>В Стратегии используются следующие термины:</w:t>
      </w:r>
    </w:p>
    <w:p w14:paraId="76EF25B6">
      <w:pPr>
        <w:pStyle w:val="4"/>
        <w:spacing w:before="200"/>
        <w:ind w:firstLine="540"/>
        <w:jc w:val="both"/>
      </w:pPr>
      <w:r>
        <w:rPr>
          <w:sz w:val="20"/>
        </w:rPr>
        <w:t>"финансовая грамотность" - основные знания, умения и навыки, необходимые для принятия финансовых решений в целях достижения финансового благополучия и управления финансовыми рисками;</w:t>
      </w:r>
    </w:p>
    <w:p w14:paraId="7BC00C13">
      <w:pPr>
        <w:pStyle w:val="4"/>
        <w:spacing w:before="200"/>
        <w:ind w:firstLine="540"/>
        <w:jc w:val="both"/>
      </w:pPr>
      <w:r>
        <w:rPr>
          <w:sz w:val="20"/>
        </w:rPr>
        <w:t>"финансовая культура" - ценности, установки и поведенческие практики граждан в финансовой сфере, зависящие от воспитания, уровня финансовой грамотности, опыта принятия финансовых решений, уровня развития финансового рынка и общественных институтов.</w:t>
      </w:r>
    </w:p>
    <w:p w14:paraId="188C802A">
      <w:pPr>
        <w:pStyle w:val="4"/>
        <w:jc w:val="both"/>
      </w:pPr>
    </w:p>
    <w:p w14:paraId="6FDB899D">
      <w:pPr>
        <w:pStyle w:val="6"/>
        <w:jc w:val="center"/>
        <w:outlineLvl w:val="1"/>
      </w:pPr>
      <w:r>
        <w:rPr>
          <w:sz w:val="20"/>
        </w:rPr>
        <w:t>II. Общее состояние финансовой грамотности и финансовой</w:t>
      </w:r>
    </w:p>
    <w:p w14:paraId="3998D562">
      <w:pPr>
        <w:pStyle w:val="6"/>
        <w:jc w:val="center"/>
      </w:pPr>
      <w:r>
        <w:rPr>
          <w:sz w:val="20"/>
        </w:rPr>
        <w:t>культуры в Российской Федерации</w:t>
      </w:r>
    </w:p>
    <w:p w14:paraId="376AAFFB">
      <w:pPr>
        <w:pStyle w:val="4"/>
        <w:jc w:val="both"/>
      </w:pPr>
    </w:p>
    <w:p w14:paraId="562CF131">
      <w:pPr>
        <w:pStyle w:val="4"/>
        <w:ind w:firstLine="540"/>
        <w:jc w:val="both"/>
      </w:pPr>
      <w:r>
        <w:rPr>
          <w:sz w:val="20"/>
        </w:rPr>
        <w:t>В период 2017 - 2023 годов совместными действиями Центрального банка Российской Федерации, Министерства финансов Российской Федерации и других федеральных органов исполнительной власти в сфере повышения финансовой грамотности достигнуты следующие результаты:</w:t>
      </w:r>
    </w:p>
    <w:p w14:paraId="691DF0EB">
      <w:pPr>
        <w:pStyle w:val="4"/>
        <w:spacing w:before="200"/>
        <w:ind w:firstLine="540"/>
        <w:jc w:val="both"/>
      </w:pPr>
      <w:r>
        <w:rPr>
          <w:sz w:val="20"/>
        </w:rPr>
        <w:t>элементы финансовой грамотности включены в федеральные государственные образовательные стандарты на всех уровнях образования (финансовая грамотность преподается в 98 процентах общеобразовательных организаций и 96 процентах профессиональных образовательных организаций с охватом 78 процентов учащихся и 69 процентов студентов соответственно);</w:t>
      </w:r>
    </w:p>
    <w:p w14:paraId="60DD7B64">
      <w:pPr>
        <w:pStyle w:val="4"/>
        <w:spacing w:before="200"/>
        <w:ind w:firstLine="540"/>
        <w:jc w:val="both"/>
      </w:pPr>
      <w:r>
        <w:rPr>
          <w:sz w:val="20"/>
        </w:rPr>
        <w:t xml:space="preserve">Межведомственной координационной комиссией по реализации </w:t>
      </w:r>
      <w:r>
        <w:fldChar w:fldCharType="begin"/>
      </w:r>
      <w:r>
        <w:instrText xml:space="preserve"> HYPERLINK "https://login.consultant.ru/link/?req=doc&amp;base=LAW&amp;n=278903&amp;dst=100011" \h </w:instrText>
      </w:r>
      <w:r>
        <w:fldChar w:fldCharType="separate"/>
      </w:r>
      <w:r>
        <w:rPr>
          <w:color w:val="0000FF"/>
          <w:sz w:val="20"/>
        </w:rPr>
        <w:t>Стратегии</w:t>
      </w:r>
      <w:r>
        <w:rPr>
          <w:color w:val="0000FF"/>
          <w:sz w:val="20"/>
        </w:rPr>
        <w:fldChar w:fldCharType="end"/>
      </w:r>
      <w:r>
        <w:rPr>
          <w:sz w:val="20"/>
        </w:rPr>
        <w:t xml:space="preserve"> 2017 - 2023 годов утверждена единая рамка компетенций по финансовой грамотности, объединяющая в себе компетенции по финансовой грамотности для учащихся и для взрослых граждан;</w:t>
      </w:r>
    </w:p>
    <w:p w14:paraId="5067F0EE">
      <w:pPr>
        <w:pStyle w:val="4"/>
        <w:spacing w:before="200"/>
        <w:ind w:firstLine="540"/>
        <w:jc w:val="both"/>
      </w:pPr>
      <w:r>
        <w:rPr>
          <w:sz w:val="20"/>
        </w:rPr>
        <w:t>на базе ведущих образовательных организаций высшего образования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бюджетное образовательное учреждение высшего образования "Российский экономический университет имени Г.В. Плеханова") созданы 5 федеральных методических центров повышения финансовой грамотности населения, осуществляющих образовательно-просветительскую работу с разными возрастными группами граждан (учащиеся, студенты, взрослые граждане, граждане старшего возраста);</w:t>
      </w:r>
    </w:p>
    <w:p w14:paraId="7FF80E20">
      <w:pPr>
        <w:pStyle w:val="4"/>
        <w:spacing w:before="200"/>
        <w:ind w:firstLine="540"/>
        <w:jc w:val="both"/>
      </w:pPr>
      <w:r>
        <w:rPr>
          <w:sz w:val="20"/>
        </w:rPr>
        <w:t>обучено более 135 тыс. педагогических работников общеобразовательных и профессиональных образовательных организаций, преподавателей и работников административно-управленческого персонала образовательных организаций высшего образования, а также специалистов в области финансового просвещения по программам повышения квалификации, содержащим элементы финансовой грамотности;</w:t>
      </w:r>
    </w:p>
    <w:p w14:paraId="7D1EC774">
      <w:pPr>
        <w:pStyle w:val="4"/>
        <w:spacing w:before="200"/>
        <w:ind w:firstLine="540"/>
        <w:jc w:val="both"/>
      </w:pPr>
      <w:r>
        <w:rPr>
          <w:sz w:val="20"/>
        </w:rPr>
        <w:t>проведены олимпиады по финансовой грамотности, в которых приняли участие более 350 тыс. учащихся и студентов;</w:t>
      </w:r>
    </w:p>
    <w:p w14:paraId="3410006A">
      <w:pPr>
        <w:pStyle w:val="4"/>
        <w:spacing w:before="200"/>
        <w:ind w:firstLine="540"/>
        <w:jc w:val="both"/>
      </w:pPr>
      <w:r>
        <w:rPr>
          <w:sz w:val="20"/>
        </w:rPr>
        <w:t xml:space="preserve">совокупный охват информационно-коммуникационной кампанией в области финансового просвещения составил свыше 60 млн. граждан (включая целевые аудитории, находящиеся в фокусе реализации </w:t>
      </w:r>
      <w:r>
        <w:fldChar w:fldCharType="begin"/>
      </w:r>
      <w:r>
        <w:instrText xml:space="preserve"> HYPERLINK "https://login.consultant.ru/link/?req=doc&amp;base=LAW&amp;n=278903&amp;dst=100011" \h </w:instrText>
      </w:r>
      <w:r>
        <w:fldChar w:fldCharType="separate"/>
      </w:r>
      <w:r>
        <w:rPr>
          <w:color w:val="0000FF"/>
          <w:sz w:val="20"/>
        </w:rPr>
        <w:t>Стратегии</w:t>
      </w:r>
      <w:r>
        <w:rPr>
          <w:color w:val="0000FF"/>
          <w:sz w:val="20"/>
        </w:rPr>
        <w:fldChar w:fldCharType="end"/>
      </w:r>
      <w:r>
        <w:rPr>
          <w:sz w:val="20"/>
        </w:rPr>
        <w:t xml:space="preserve"> 2017 - 2023 годов, а именно граждан старшего возраста, лиц с ограниченными возможностями здоровья, граждан, попавших в сложную финансовую ситуацию, детей-сирот и детей, оставшихся без попечения родителей, представителей малого и среднего предпринимательства, военнослужащих), в том числе путем:</w:t>
      </w:r>
    </w:p>
    <w:p w14:paraId="429FA196">
      <w:pPr>
        <w:pStyle w:val="4"/>
        <w:spacing w:before="200"/>
        <w:ind w:firstLine="540"/>
        <w:jc w:val="both"/>
      </w:pPr>
      <w:r>
        <w:rPr>
          <w:sz w:val="20"/>
        </w:rPr>
        <w:t>организации и проведения мероприятий с использованием цифрового и онлайн-форматов (в различных мероприятиях, онлайн-уроках и обучающих вебинарах по финансовой грамотности, реализованных Министерством финансов Российской Федерации и Центральным банком Российской Федерации совместно с партнерами, только в 2022 году приняли участие более 30 млн. граждан, в том числе свыше 12 млн. граждан посмотрели онлайн-уроки финансовой грамотности, более 3 млн. граждан приняли участие в онлайн-зачете по финансовой грамотности, более 4,3 млн. граждан стали аудиторией ипотечного марафона, ежемесячно порталы "Финансовая культура" и "Мои финансы" посещали 1,1 млн. уникальных пользователей);</w:t>
      </w:r>
    </w:p>
    <w:p w14:paraId="15BE944F">
      <w:pPr>
        <w:pStyle w:val="4"/>
        <w:spacing w:before="200"/>
        <w:ind w:firstLine="540"/>
        <w:jc w:val="both"/>
      </w:pPr>
      <w:r>
        <w:rPr>
          <w:sz w:val="20"/>
        </w:rPr>
        <w:t xml:space="preserve">медийного продвижения информационных материалов по финансовой грамотности с использованием цифровых ресурсов, в том числе официальных сайтов участников реализации </w:t>
      </w:r>
      <w:r>
        <w:fldChar w:fldCharType="begin"/>
      </w:r>
      <w:r>
        <w:instrText xml:space="preserve"> HYPERLINK "https://login.consultant.ru/link/?req=doc&amp;base=LAW&amp;n=278903&amp;dst=100011" \h </w:instrText>
      </w:r>
      <w:r>
        <w:fldChar w:fldCharType="separate"/>
      </w:r>
      <w:r>
        <w:rPr>
          <w:color w:val="0000FF"/>
          <w:sz w:val="20"/>
        </w:rPr>
        <w:t>Стратегии</w:t>
      </w:r>
      <w:r>
        <w:rPr>
          <w:color w:val="0000FF"/>
          <w:sz w:val="20"/>
        </w:rPr>
        <w:fldChar w:fldCharType="end"/>
      </w:r>
      <w:r>
        <w:rPr>
          <w:sz w:val="20"/>
        </w:rPr>
        <w:t xml:space="preserve"> 2017 - 2023 годов, а также федеральной государственной информационной системы "Единый портал государственных и муниципальных услуг (функций)", средств массовой информации и социальных сетей, онлайн-приложений и голосовых помощников, мультфильмов и онлайн-игр по финансовой грамотности, форматов социальной рекламы;</w:t>
      </w:r>
    </w:p>
    <w:p w14:paraId="0376FA5D">
      <w:pPr>
        <w:pStyle w:val="4"/>
        <w:spacing w:before="200"/>
        <w:ind w:firstLine="540"/>
        <w:jc w:val="both"/>
      </w:pPr>
      <w:r>
        <w:rPr>
          <w:sz w:val="20"/>
        </w:rPr>
        <w:t>организовано движение волонтеров финансового просвещения, насчитывающее более 11 тыс. граждан во всех регионах страны, активно осуществляющих просветительскую деятельность со всеми целевыми аудиториями, в том числе с гражданами старшего возраста, жителями отдаленных населенных пунктов, лицами, оказавшимися в трудной жизненной ситуации;</w:t>
      </w:r>
    </w:p>
    <w:p w14:paraId="02578F1E">
      <w:pPr>
        <w:pStyle w:val="4"/>
        <w:spacing w:before="200"/>
        <w:ind w:firstLine="540"/>
        <w:jc w:val="both"/>
      </w:pPr>
      <w:r>
        <w:rPr>
          <w:sz w:val="20"/>
        </w:rPr>
        <w:t>на системной основе обеспечена координационная и экспертная поддержка деятельности субъектов Российской Федерации, по итогам которой:</w:t>
      </w:r>
    </w:p>
    <w:p w14:paraId="7E5A28E7">
      <w:pPr>
        <w:pStyle w:val="4"/>
        <w:spacing w:before="200"/>
        <w:ind w:firstLine="540"/>
        <w:jc w:val="both"/>
      </w:pPr>
      <w:r>
        <w:rPr>
          <w:sz w:val="20"/>
        </w:rPr>
        <w:t>в 85 регионах утверждены и реализуются собственные программы повышения финансовой грамотности, созданы координационные органы по вопросам финансовой грамотности;</w:t>
      </w:r>
    </w:p>
    <w:p w14:paraId="24962D21">
      <w:pPr>
        <w:pStyle w:val="4"/>
        <w:spacing w:before="200"/>
        <w:ind w:firstLine="540"/>
        <w:jc w:val="both"/>
      </w:pPr>
      <w:r>
        <w:rPr>
          <w:sz w:val="20"/>
        </w:rPr>
        <w:t>в 53 регионах созданы и функционируют региональные центры финансовой грамотности;</w:t>
      </w:r>
    </w:p>
    <w:p w14:paraId="5378A6DA">
      <w:pPr>
        <w:pStyle w:val="4"/>
        <w:spacing w:before="200"/>
        <w:ind w:firstLine="540"/>
        <w:jc w:val="both"/>
      </w:pPr>
      <w:r>
        <w:rPr>
          <w:sz w:val="20"/>
        </w:rPr>
        <w:t>в 77 регионах реализуются практики инициативного бюджетирования и (или) иные практики вовлечения граждан в процессы управления, основанные на интернет-решениях (далее - иные практики), благодаря которым граждане вовлекаются в процесс формирования, обсуждения, принятия и реализации решений, в том числе в бюджетной сфере;</w:t>
      </w:r>
    </w:p>
    <w:p w14:paraId="105850B1">
      <w:pPr>
        <w:pStyle w:val="4"/>
        <w:spacing w:before="200"/>
        <w:ind w:firstLine="540"/>
        <w:jc w:val="both"/>
      </w:pPr>
      <w:r>
        <w:rPr>
          <w:sz w:val="20"/>
        </w:rPr>
        <w:t>в 14 регионах созданы ресурсные центры волонтеров финансового просвещения.</w:t>
      </w:r>
    </w:p>
    <w:p w14:paraId="11C6F439">
      <w:pPr>
        <w:pStyle w:val="4"/>
        <w:spacing w:before="200"/>
        <w:ind w:firstLine="540"/>
        <w:jc w:val="both"/>
      </w:pPr>
      <w:r>
        <w:rPr>
          <w:sz w:val="20"/>
        </w:rPr>
        <w:t xml:space="preserve">Таким образом, за период реализации </w:t>
      </w:r>
      <w:r>
        <w:fldChar w:fldCharType="begin"/>
      </w:r>
      <w:r>
        <w:instrText xml:space="preserve"> HYPERLINK "https://login.consultant.ru/link/?req=doc&amp;base=LAW&amp;n=278903&amp;dst=100011" \h </w:instrText>
      </w:r>
      <w:r>
        <w:fldChar w:fldCharType="separate"/>
      </w:r>
      <w:r>
        <w:rPr>
          <w:color w:val="0000FF"/>
          <w:sz w:val="20"/>
        </w:rPr>
        <w:t>Стратегии</w:t>
      </w:r>
      <w:r>
        <w:rPr>
          <w:color w:val="0000FF"/>
          <w:sz w:val="20"/>
        </w:rPr>
        <w:fldChar w:fldCharType="end"/>
      </w:r>
      <w:r>
        <w:rPr>
          <w:sz w:val="20"/>
        </w:rPr>
        <w:t xml:space="preserve"> 2017 - 2023 годов удалось добиться заметных успехов в сфере повышения финансовой грамотности.</w:t>
      </w:r>
    </w:p>
    <w:p w14:paraId="4380A1C4">
      <w:pPr>
        <w:pStyle w:val="4"/>
        <w:spacing w:before="200"/>
        <w:ind w:firstLine="540"/>
        <w:jc w:val="both"/>
      </w:pPr>
      <w:r>
        <w:rPr>
          <w:sz w:val="20"/>
        </w:rPr>
        <w:t>Результаты проведенного в 2022 году исследования свидетельствуют о том, что уровень финансовой грамотности граждан страны в целом вырос. Улучшилось понимание россиянами сути таких понятий, как "ссудный процент" (увеличение доли правильных ответов с 68 процентов в 2017 году до 75 процентов в 2022 году) и "инфляция" (увеличение доли правильных ответов с 78 процентов в 2017 году до 81 процента в 2022 году), усилилось осознание ответственности в отношении долгового поведения (увеличение доли правильных ответов с 65 процентов в 2017 году до 69 процентов в 2022 году), повысилась информированность об организациях, защищающих права пользователей финансовых услуг (увеличение доли правильных ответов с 38 процентов в 2017 году до 51 процента в 2022 году).</w:t>
      </w:r>
    </w:p>
    <w:p w14:paraId="67E65C64">
      <w:pPr>
        <w:pStyle w:val="4"/>
        <w:spacing w:before="200"/>
        <w:ind w:firstLine="540"/>
        <w:jc w:val="both"/>
      </w:pPr>
      <w:r>
        <w:rPr>
          <w:sz w:val="20"/>
        </w:rPr>
        <w:t>Финансовое поведение граждан в отдельных аспектах стало более устойчивым и осознанным. Выросли доли опрошенных граждан:</w:t>
      </w:r>
    </w:p>
    <w:p w14:paraId="63F36205">
      <w:pPr>
        <w:pStyle w:val="4"/>
        <w:spacing w:before="200"/>
        <w:ind w:firstLine="540"/>
        <w:jc w:val="both"/>
      </w:pPr>
      <w:r>
        <w:rPr>
          <w:sz w:val="20"/>
        </w:rPr>
        <w:t>имеющих денежный запас на непредвиденный случай (с 37 процентов в 2017 году до 47 процентов в 2022 году);</w:t>
      </w:r>
    </w:p>
    <w:p w14:paraId="1560F54F">
      <w:pPr>
        <w:pStyle w:val="4"/>
        <w:spacing w:before="200"/>
        <w:ind w:firstLine="540"/>
        <w:jc w:val="both"/>
      </w:pPr>
      <w:r>
        <w:rPr>
          <w:sz w:val="20"/>
        </w:rPr>
        <w:t>самостоятельно принимающих финансовые решения (с 38 процентов в 2017 году до 51 процента в 2022 году);</w:t>
      </w:r>
    </w:p>
    <w:p w14:paraId="07480C25">
      <w:pPr>
        <w:pStyle w:val="4"/>
        <w:spacing w:before="200"/>
        <w:ind w:firstLine="540"/>
        <w:jc w:val="both"/>
      </w:pPr>
      <w:r>
        <w:rPr>
          <w:sz w:val="20"/>
        </w:rPr>
        <w:t>распределяющих свои доходы так, чтобы их хватало на текущие расходы (с 54 процентов в 2017 году до 62 процентов в 2022 году).</w:t>
      </w:r>
    </w:p>
    <w:p w14:paraId="4C37E095">
      <w:pPr>
        <w:pStyle w:val="4"/>
        <w:spacing w:before="200"/>
        <w:ind w:firstLine="540"/>
        <w:jc w:val="both"/>
      </w:pPr>
      <w:r>
        <w:rPr>
          <w:sz w:val="20"/>
        </w:rPr>
        <w:t>Результаты опросов граждан показывают, что граждане с более высоким уровнем финансовой грамотности имеют более достоверные инфляционные ожидания, а значит, могут более рационально планировать свои финансы.</w:t>
      </w:r>
    </w:p>
    <w:p w14:paraId="1A571920">
      <w:pPr>
        <w:pStyle w:val="4"/>
        <w:spacing w:before="200"/>
        <w:ind w:firstLine="540"/>
        <w:jc w:val="both"/>
      </w:pPr>
      <w:r>
        <w:rPr>
          <w:sz w:val="20"/>
        </w:rPr>
        <w:t>Положительный эффект от популяризации финансовой грамотности особенно сильно отражается в росте показателей финансовой грамотности молодежи - по итогам исследования молодые люди демонстрируют более рациональное и ответственное финансовое поведение (33 процента осознанно выбирают финансовую услугу по сравнению с 27 процентами взрослых граждан, 55 процентов делают сбережения по сравнению с 45 процентами взрослых граждан), лучше разбираются в цифровых и инвестиционных финансовых инструментах (60 процентов используют двойную аутентификацию при пользовании финансами онлайн по сравнению с 36 процентами взрослых граждан, 23 процента активно инвестируют по сравнению с 11 процентами взрослых граждан). Существенное влияние на это оказало внедрение финансовой грамотности в образовательный процесс.</w:t>
      </w:r>
    </w:p>
    <w:p w14:paraId="5E450888">
      <w:pPr>
        <w:pStyle w:val="4"/>
        <w:spacing w:before="200"/>
        <w:ind w:firstLine="540"/>
        <w:jc w:val="both"/>
      </w:pPr>
      <w:r>
        <w:rPr>
          <w:sz w:val="20"/>
        </w:rPr>
        <w:t>Вместе с тем достигнутые результаты не в полной мере отвечают целям формирования устойчивых моделей финансового поведения. Значительное количество граждан не строит долгосрочные планы (75 процентов), не формирует сбережения в значимых объемах (53 процента). Необходимы повышение информированности граждан об инструментах финансового рынка и формирование навыков осознанного (рационального) выбора этих инструментов.</w:t>
      </w:r>
    </w:p>
    <w:p w14:paraId="7676045E">
      <w:pPr>
        <w:pStyle w:val="4"/>
        <w:spacing w:before="200"/>
        <w:ind w:firstLine="540"/>
        <w:jc w:val="both"/>
      </w:pPr>
      <w:r>
        <w:rPr>
          <w:sz w:val="20"/>
        </w:rPr>
        <w:t>Согласно опросу, проведенному в 2022 году при участии автономной некоммерческой организации "Международный учебно-методический центр финансового мониторинга", каждый второй молодой россиянин в возрасте от 14 до 35 лет (53 процента) считает, что ему не хватает знаний об основах финансовой безопасности, чтобы защитить себя от мошенничества и других рисков потери денег, 87 процентов россиян моложе 35 лет заявляют о желании повысить свою грамотность в этой сфере.</w:t>
      </w:r>
    </w:p>
    <w:p w14:paraId="55306A7A">
      <w:pPr>
        <w:pStyle w:val="4"/>
        <w:spacing w:before="200"/>
        <w:ind w:firstLine="540"/>
        <w:jc w:val="both"/>
      </w:pPr>
      <w:r>
        <w:rPr>
          <w:sz w:val="20"/>
        </w:rPr>
        <w:t>Уровень финансовой грамотности заметно различается в разных группах граждан. Люди более молодого возраста, а также граждане с высоким доходом, что часто обусловлено высоким уровнем образования и (или) проживанием в крупном городе, демонстрируют большую финансовую активность и, как следствие, более высокий уровень финансовой грамотности.</w:t>
      </w:r>
    </w:p>
    <w:p w14:paraId="7E50B219">
      <w:pPr>
        <w:pStyle w:val="4"/>
        <w:spacing w:before="200"/>
        <w:ind w:firstLine="540"/>
        <w:jc w:val="both"/>
      </w:pPr>
      <w:r>
        <w:rPr>
          <w:sz w:val="20"/>
        </w:rPr>
        <w:t>Заметно меньшую финансовую компетентность проявляют граждане старшего возраста, граждане с невысоким уровнем доходов, низким уровнем образования и граждане, проживающие в небольших населенных пунктах.</w:t>
      </w:r>
    </w:p>
    <w:p w14:paraId="4BC68176">
      <w:pPr>
        <w:pStyle w:val="4"/>
        <w:spacing w:before="200"/>
        <w:ind w:firstLine="540"/>
        <w:jc w:val="both"/>
      </w:pPr>
      <w:r>
        <w:rPr>
          <w:sz w:val="20"/>
        </w:rPr>
        <w:t>Взрослые граждане, в отличие от молодежи, менее восприимчивы к новой информации. Взрослый гражданин готов изучать новые для себя вопросы в случае возникновения интереса к ним, при необходимости (например, для решения профессиональных или личных практических задач, при существенных изменениях внешней среды) или под влиянием общественного мнения, поведения окружающих людей (эффект социального подражания). Поэтому в рамках реализации Стратегии необходимо повысить заинтересованность взрослых граждан в финансовой грамотности и формировании финансовой культуры.</w:t>
      </w:r>
    </w:p>
    <w:p w14:paraId="4924151D">
      <w:pPr>
        <w:pStyle w:val="4"/>
        <w:spacing w:before="200"/>
        <w:ind w:firstLine="540"/>
        <w:jc w:val="both"/>
      </w:pPr>
      <w:r>
        <w:rPr>
          <w:sz w:val="20"/>
        </w:rPr>
        <w:t>На современном этапе рост благополучия граждан может обеспечить их более активное осознанное участие в российской экономике, что, в свою очередь, будет фактором ее развития. Финансовая грамотность является необходимым, но не достаточным условием такого участия. Знания и компетенции не всегда автоматически обеспечивают продуктивное финансовое поведение, особенно в ситуации, если они вступают в конфликт с социокультурными установками и ценностями людей - например, низким уровнем доверия, коротким горизонтом планирования, недостаточным самоконтролем и ответственностью.</w:t>
      </w:r>
    </w:p>
    <w:p w14:paraId="04F29C50">
      <w:pPr>
        <w:pStyle w:val="4"/>
        <w:spacing w:before="200"/>
        <w:ind w:firstLine="540"/>
        <w:jc w:val="both"/>
      </w:pPr>
      <w:r>
        <w:rPr>
          <w:sz w:val="20"/>
        </w:rPr>
        <w:t>Необходимо также учитывать, что быстрое развитие цифровых технологий существенно изменило традиционные подходы к оказанию финансовых услуг, повысило требования к финансовой киберграмотности, под которой понимаются основные знания, умения и навыки граждан в области безопасного пользования цифровыми финансовыми технологиями. В настоящее время многие граждане в России могут совершать большинство финансовых операций в онлайн-режиме круглосуточно с помощью мобильных приложений. Развитие подобных решений наряду с плюсами для потребителей финансовых услуг привело также к росту мошеннических действий с использованием цифровых технологий, увеличению количества нелегальных участников финансового рынка и "финансовых пирамид", осуществляющих деятельность посредством информационно-телекоммуникационной сети "Интернет". В этой связи в ближайшие годы приоритет в вопросах финансовой безопасности будут иметь вопросы финансовой кибербезопасности, под которой понимается совокупность методов и практик управления киберрисками, в том числе защиты от атак злоумышленников в отношении цифровых финансовых технологий.</w:t>
      </w:r>
    </w:p>
    <w:p w14:paraId="50F7DEC3">
      <w:pPr>
        <w:pStyle w:val="4"/>
        <w:spacing w:before="200"/>
        <w:ind w:firstLine="540"/>
        <w:jc w:val="both"/>
      </w:pPr>
      <w:r>
        <w:rPr>
          <w:sz w:val="20"/>
        </w:rPr>
        <w:t>Поэтому в рамках реализации Стратегии ставится задача перехода от финансовой грамотности как набора знаний, умений и навыков к финансовой культуре, которая включает в себя ценности, установки и поведенческие практики, определяет качество использования гражданами финансовой грамотности. Для этого необходимо целенаправленное воздействие на все компоненты финансовой культуры через различные каналы коммуникации и соответствующих субъектов - государство, образовательные организации, финансовые организации, бизнес, креативные индустрии, добровольцев (волонтеров), семью, гражданское общество.</w:t>
      </w:r>
    </w:p>
    <w:p w14:paraId="5957275E">
      <w:pPr>
        <w:pStyle w:val="4"/>
        <w:spacing w:before="200"/>
        <w:ind w:firstLine="540"/>
        <w:jc w:val="both"/>
      </w:pPr>
      <w:r>
        <w:rPr>
          <w:sz w:val="20"/>
        </w:rPr>
        <w:t>Положительное влияние на уровень финансовой культуры будут оказывать опыт пользования разнообразными финансовыми продуктами и услугами, рост уровня доходов, повышение доступности финансовых услуг и вовлеченности граждан в операции на финансовом рынке. Важную роль в этих процессах будет играть клиентоориентированный и этичный финансовый бизнес, нацеленный на долгосрочные взаимовыгодные отношения с клиентами.</w:t>
      </w:r>
    </w:p>
    <w:p w14:paraId="29FB6A62">
      <w:pPr>
        <w:pStyle w:val="4"/>
        <w:spacing w:before="200"/>
        <w:ind w:firstLine="540"/>
        <w:jc w:val="both"/>
      </w:pPr>
      <w:r>
        <w:rPr>
          <w:sz w:val="20"/>
        </w:rPr>
        <w:t>В процессе формирования финансовой культуры необходимо учитывать и факторы, связанные с самой природой человека, когнитивные и эмоциональные механизмы финансового поведения, которые приводят к ошибкам и нерациональным действиям. Поэтому повышение уровня финансовой культуры должно включать в себя не только финансовое просвещение, но и обучение людей общим навыкам принятия решений в условиях неопределенности и с учетом когнитивных искажений.</w:t>
      </w:r>
    </w:p>
    <w:p w14:paraId="412522FE">
      <w:pPr>
        <w:pStyle w:val="4"/>
        <w:spacing w:before="200"/>
        <w:ind w:firstLine="540"/>
        <w:jc w:val="both"/>
      </w:pPr>
      <w:r>
        <w:rPr>
          <w:sz w:val="20"/>
        </w:rPr>
        <w:t>В начале десятилетия российская экономика и финансовый рынок столкнулись с серьезными вызовами, включая новую коронавирусную инфекцию (COVID-19), геополитическую турбулентность, широкомасштабные санкции со стороны ряда зарубежных государств и связанную с этим "заморозку" иностранных активов частных инвесторов. Эти вызовы потребовали оперативных решений Правительства Российской Федерации и Центрального банка Российской Федерации, принятия новых нормативных правовых актов. Граждане, со своей стороны, также продемонстрировали высокий уровень адаптации к внешним факторам, способность преодолевать кризисные явления, чему способствовала в том числе и последовательно проводившаяся в предыдущие годы работа по повышению финансовой грамотности.</w:t>
      </w:r>
    </w:p>
    <w:p w14:paraId="764210E8">
      <w:pPr>
        <w:pStyle w:val="4"/>
        <w:spacing w:before="200"/>
        <w:ind w:firstLine="540"/>
        <w:jc w:val="both"/>
      </w:pPr>
      <w:r>
        <w:rPr>
          <w:sz w:val="20"/>
        </w:rPr>
        <w:t xml:space="preserve">Реализация </w:t>
      </w:r>
      <w:r>
        <w:fldChar w:fldCharType="begin"/>
      </w:r>
      <w:r>
        <w:instrText xml:space="preserve"> HYPERLINK "https://login.consultant.ru/link/?req=doc&amp;base=LAW&amp;n=278903&amp;dst=100011" \h </w:instrText>
      </w:r>
      <w:r>
        <w:fldChar w:fldCharType="separate"/>
      </w:r>
      <w:r>
        <w:rPr>
          <w:color w:val="0000FF"/>
          <w:sz w:val="20"/>
        </w:rPr>
        <w:t>Стратегии</w:t>
      </w:r>
      <w:r>
        <w:rPr>
          <w:color w:val="0000FF"/>
          <w:sz w:val="20"/>
        </w:rPr>
        <w:fldChar w:fldCharType="end"/>
      </w:r>
      <w:r>
        <w:rPr>
          <w:sz w:val="20"/>
        </w:rPr>
        <w:t xml:space="preserve"> 2017 - 2023 годов позволила заложить устойчивый фундамент для дальнейшего повышения финансовой грамотности и формирования финансовой культуры граждан. Сформирована система управления программами повышения финансовой грамотности на федеральном и региональном уровнях в их взаимосвязи, внедрены эффективные инструменты продвижения финансовой грамотности в рамках системы образования, создана базовая архитектура работы со взрослыми гражданами через информационно-просветительские мероприятия.</w:t>
      </w:r>
    </w:p>
    <w:p w14:paraId="1CD1BD89">
      <w:pPr>
        <w:pStyle w:val="4"/>
        <w:spacing w:before="200"/>
        <w:ind w:firstLine="540"/>
        <w:jc w:val="both"/>
      </w:pPr>
      <w:r>
        <w:rPr>
          <w:sz w:val="20"/>
        </w:rPr>
        <w:t>Это позволяет ставить более сложные задачи на горизонт до 2030 года, связанные с формированием финансовой культуры и финансово грамотного поведения.</w:t>
      </w:r>
    </w:p>
    <w:p w14:paraId="07CCC793">
      <w:pPr>
        <w:pStyle w:val="4"/>
        <w:jc w:val="both"/>
      </w:pPr>
    </w:p>
    <w:p w14:paraId="16B4E0E1">
      <w:pPr>
        <w:pStyle w:val="6"/>
        <w:jc w:val="center"/>
        <w:outlineLvl w:val="1"/>
      </w:pPr>
      <w:r>
        <w:rPr>
          <w:sz w:val="20"/>
        </w:rPr>
        <w:t>III. Цели и задачи Стратегии</w:t>
      </w:r>
    </w:p>
    <w:p w14:paraId="64469BA0">
      <w:pPr>
        <w:pStyle w:val="4"/>
        <w:jc w:val="both"/>
      </w:pPr>
    </w:p>
    <w:p w14:paraId="1E824079">
      <w:pPr>
        <w:pStyle w:val="4"/>
        <w:ind w:firstLine="540"/>
        <w:jc w:val="both"/>
      </w:pPr>
      <w:r>
        <w:rPr>
          <w:sz w:val="20"/>
        </w:rPr>
        <w:t>Целью Стратегии является формирование к 2030 году у большинства граждан Российской Федерации ключевых элементов финансовой культуры (ценностей, установок и поведенческих практик), способствующих финансовому благополучию гражданина, семьи и общества, в том числе через формирование компетенций по финансовой грамотности, расширение практических навыков и опыта принятия финансовых решений, обеспечение надежности функционирования финансовой системы.</w:t>
      </w:r>
    </w:p>
    <w:p w14:paraId="415E678D">
      <w:pPr>
        <w:pStyle w:val="4"/>
        <w:spacing w:before="200"/>
        <w:ind w:firstLine="540"/>
        <w:jc w:val="both"/>
      </w:pPr>
      <w:r>
        <w:rPr>
          <w:sz w:val="20"/>
        </w:rPr>
        <w:t>Формирование финансовой культуры будет служить интересам граждан, бизнеса и общества в целом, способствовать повышению благосостояния граждан, достижению национальных целей развития Российской Федерации, решению приоритетных задач. Результатами повышения финансовой культуры должны стать увеличение горизонта планирования граждан, их способности осознанно формулировать финансовые и инвестиционные цели и обеспечивать их реализацию, повышение приемлемости осознанного риска при исключении неоправданно рискованного поведения, рост доверия в целом и, в частности, доверия граждан к финансовым институтам.</w:t>
      </w:r>
    </w:p>
    <w:p w14:paraId="012EA6C9">
      <w:pPr>
        <w:pStyle w:val="4"/>
        <w:spacing w:before="200"/>
        <w:ind w:firstLine="540"/>
        <w:jc w:val="both"/>
      </w:pPr>
      <w:r>
        <w:rPr>
          <w:sz w:val="20"/>
        </w:rPr>
        <w:t>Эти результаты внесут вклад в повышение реальных доходов и финансового благополучия граждан, увеличение потенциала формирования долгосрочных сбережений и инвестиций в российской экономике, что будет способствовать ее структурной трансформации и более эффективному развитию, снижению рисков для финансовой стабильности.</w:t>
      </w:r>
    </w:p>
    <w:p w14:paraId="02D7FE28">
      <w:pPr>
        <w:pStyle w:val="4"/>
        <w:spacing w:before="200"/>
        <w:ind w:firstLine="540"/>
        <w:jc w:val="both"/>
      </w:pPr>
      <w:r>
        <w:rPr>
          <w:sz w:val="20"/>
        </w:rPr>
        <w:t>Повышение доверия граждан, в том числе к финансовым институтам, является комплексной задачей, характеризующей общее состояние финансовой культуры в экономике и обществе, и зависит от множества факторов. Такое повышение основывается на развитии финансового рынка, культуры государственных институтов и финансовых организаций, права и правоприменительной практики, защите интересов граждан и участников финансового рынка. Развитие финансовой грамотности и формирование финансовой культуры должны способствовать повышению доверия при снижении рисков финансовой стабильности и индивидуальных рисков граждан.</w:t>
      </w:r>
    </w:p>
    <w:p w14:paraId="10269B34">
      <w:pPr>
        <w:pStyle w:val="4"/>
        <w:spacing w:before="200"/>
        <w:ind w:firstLine="540"/>
        <w:jc w:val="both"/>
      </w:pPr>
      <w:r>
        <w:rPr>
          <w:sz w:val="20"/>
        </w:rPr>
        <w:t>В равной мере финансовая грамотность и финансовая культура важны для формирования поведения граждан в сфере общественных финансов. В целях лучшего понимания гражданами важности роли общественных финансов в их жизни и своих возможностей принимать участие в бюджетном процессе необходимо акцентировать внимание в первую очередь на воспитании гражданской ответственности, укреплении доверия граждан к органам государственной власти и органам местного самоуправления, на существующих инструментах участия граждан в бюджетном процессе и общественного контроля за эффективным использованием бюджетных средств.</w:t>
      </w:r>
    </w:p>
    <w:p w14:paraId="045F734C">
      <w:pPr>
        <w:pStyle w:val="4"/>
        <w:spacing w:before="200"/>
        <w:ind w:firstLine="540"/>
        <w:jc w:val="both"/>
      </w:pPr>
      <w:r>
        <w:rPr>
          <w:sz w:val="20"/>
        </w:rPr>
        <w:t xml:space="preserve">Повышение финансовой грамотности и формирование финансовой культуры граждан в результате реализации Стратегии будут способствовать в том числе достижению ключевых целей развития российского финансового рынка, определенных </w:t>
      </w:r>
      <w:r>
        <w:fldChar w:fldCharType="begin"/>
      </w:r>
      <w:r>
        <w:instrText xml:space="preserve"> HYPERLINK "https://login.consultant.ru/link/?req=doc&amp;base=LAW&amp;n=465377&amp;dst=100010" \h </w:instrText>
      </w:r>
      <w:r>
        <w:fldChar w:fldCharType="separate"/>
      </w:r>
      <w:r>
        <w:rPr>
          <w:color w:val="0000FF"/>
          <w:sz w:val="20"/>
        </w:rPr>
        <w:t>Стратегией</w:t>
      </w:r>
      <w:r>
        <w:rPr>
          <w:color w:val="0000FF"/>
          <w:sz w:val="20"/>
        </w:rPr>
        <w:fldChar w:fldCharType="end"/>
      </w:r>
      <w:r>
        <w:rPr>
          <w:sz w:val="20"/>
        </w:rPr>
        <w:t xml:space="preserve"> развития финансового рынка Российской Федерации до 2030 года, утвержденной распоряжением Правительства Российской Федерации от 29 декабря 2022 г. N 4355-р. Наиболее актуальными вопросами в этой сфере являются:</w:t>
      </w:r>
    </w:p>
    <w:p w14:paraId="29E1688D">
      <w:pPr>
        <w:pStyle w:val="4"/>
        <w:spacing w:before="200"/>
        <w:ind w:firstLine="540"/>
        <w:jc w:val="both"/>
      </w:pPr>
      <w:r>
        <w:rPr>
          <w:sz w:val="20"/>
        </w:rPr>
        <w:t>расширение долгосрочных инвестиций граждан в российскую экономику, в том числе с использованием государственных ценных бумаг Российской Федерации и субъектов Российской Федерации, включая облигации для населения, механизма индивидуальных инвестиционных счетов, вовлечение граждан в долгосрочные сбережения с использованием пассивных инвестиционных стратегий при посредничестве управляющих компаний, негосударственных пенсионных фондов и страховщиков, долгосрочных безотзывных вкладов и сберегательных сертификатов, основанное на понимании возможных рисков;</w:t>
      </w:r>
    </w:p>
    <w:p w14:paraId="26171F79">
      <w:pPr>
        <w:pStyle w:val="4"/>
        <w:spacing w:before="200"/>
        <w:ind w:firstLine="540"/>
        <w:jc w:val="both"/>
      </w:pPr>
      <w:r>
        <w:rPr>
          <w:sz w:val="20"/>
        </w:rPr>
        <w:t>поддержка формирования достаточного уровня сбережений граждан ("финансовые подушки безопасности"), в том числе для социально незащищенных категорий граждан, а также информирование об инструментах формирования долгосрочных накоплений;</w:t>
      </w:r>
    </w:p>
    <w:p w14:paraId="7D9D686B">
      <w:pPr>
        <w:pStyle w:val="4"/>
        <w:spacing w:before="200"/>
        <w:ind w:firstLine="540"/>
        <w:jc w:val="both"/>
      </w:pPr>
      <w:r>
        <w:rPr>
          <w:sz w:val="20"/>
        </w:rPr>
        <w:t>развитие страхования жизни как долгосрочного инструмента защиты имущественных интересов граждан;</w:t>
      </w:r>
    </w:p>
    <w:p w14:paraId="1934B454">
      <w:pPr>
        <w:pStyle w:val="4"/>
        <w:spacing w:before="200"/>
        <w:ind w:firstLine="540"/>
        <w:jc w:val="both"/>
      </w:pPr>
      <w:r>
        <w:rPr>
          <w:sz w:val="20"/>
        </w:rPr>
        <w:t>повышение доверия граждан к системе добровольного пенсионного страхования и их вовлеченности в программы негосударственного пенсионного обеспечения.</w:t>
      </w:r>
    </w:p>
    <w:p w14:paraId="4CD911AE">
      <w:pPr>
        <w:pStyle w:val="4"/>
        <w:spacing w:before="200"/>
        <w:ind w:firstLine="540"/>
        <w:jc w:val="both"/>
      </w:pPr>
      <w:r>
        <w:rPr>
          <w:sz w:val="20"/>
        </w:rPr>
        <w:t>Стратегия направлена на повышение финансовой грамотности и формирование финансовой культуры, рост благосостояния всех граждан страны и ориентирована на учет потребностей и возможностей гражданина на разных стадиях его жизненного цикла. Вместе с тем в ней учитываются интересы отдельных групп граждан, для которых требуются специальные меры и программы по повышению их финансовой грамотности и формированию их финансовой культуры с учетом возможностей и жизненных ситуаций. Стратегия также способствует повышению уровня финансовой безопасности, в том числе финансовой кибербезопасности, граждан Российской Федерации.</w:t>
      </w:r>
    </w:p>
    <w:p w14:paraId="61E2FB06">
      <w:pPr>
        <w:pStyle w:val="4"/>
        <w:spacing w:before="200"/>
        <w:ind w:firstLine="540"/>
        <w:jc w:val="both"/>
      </w:pPr>
      <w:r>
        <w:rPr>
          <w:sz w:val="20"/>
        </w:rPr>
        <w:t>Для достижения поставленной цели необходимо решить следующие взаимосвязанные задачи Стратегии:</w:t>
      </w:r>
    </w:p>
    <w:p w14:paraId="1D619C22">
      <w:pPr>
        <w:pStyle w:val="4"/>
        <w:spacing w:before="200"/>
        <w:ind w:firstLine="540"/>
        <w:jc w:val="both"/>
      </w:pPr>
      <w:r>
        <w:rPr>
          <w:sz w:val="20"/>
        </w:rPr>
        <w:t>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w:t>
      </w:r>
    </w:p>
    <w:p w14:paraId="2D0ED18E">
      <w:pPr>
        <w:pStyle w:val="4"/>
        <w:spacing w:before="200"/>
        <w:ind w:firstLine="540"/>
        <w:jc w:val="both"/>
      </w:pPr>
      <w:r>
        <w:rPr>
          <w:sz w:val="20"/>
        </w:rPr>
        <w:t>сохранение и развитие накопленного опыта в рамках системы образования по повышению финансовой грамотности детей и молодежи, дополнение образовательных программ элементами финансовой культуры;</w:t>
      </w:r>
    </w:p>
    <w:p w14:paraId="36F1A105">
      <w:pPr>
        <w:pStyle w:val="4"/>
        <w:spacing w:before="200"/>
        <w:ind w:firstLine="540"/>
        <w:jc w:val="both"/>
      </w:pPr>
      <w:r>
        <w:rPr>
          <w:sz w:val="20"/>
        </w:rPr>
        <w:t>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w:t>
      </w:r>
    </w:p>
    <w:p w14:paraId="64B11062">
      <w:pPr>
        <w:pStyle w:val="4"/>
        <w:spacing w:before="200"/>
        <w:ind w:firstLine="540"/>
        <w:jc w:val="both"/>
      </w:pPr>
      <w:r>
        <w:rPr>
          <w:sz w:val="20"/>
        </w:rPr>
        <w:t>ведение целевой информационно-просветительской деятельности в отношении отдельных групп граждан;</w:t>
      </w:r>
    </w:p>
    <w:p w14:paraId="74E9C939">
      <w:pPr>
        <w:pStyle w:val="4"/>
        <w:spacing w:before="200"/>
        <w:ind w:firstLine="540"/>
        <w:jc w:val="both"/>
      </w:pPr>
      <w:r>
        <w:rPr>
          <w:sz w:val="20"/>
        </w:rPr>
        <w:t>расширение положительного опыта использования гражданами финансовых продуктов и услуг, сопровождаемое экспертизой со стороны государства и гражданского общества качества и потребительской ценности предлагаемых на рынке финансовых продуктов и услуг;</w:t>
      </w:r>
    </w:p>
    <w:p w14:paraId="071FDD2F">
      <w:pPr>
        <w:pStyle w:val="4"/>
        <w:spacing w:before="200"/>
        <w:ind w:firstLine="540"/>
        <w:jc w:val="both"/>
      </w:pPr>
      <w:r>
        <w:rPr>
          <w:sz w:val="20"/>
        </w:rPr>
        <w:t>формирование доверительного отношения граждан к финансовому рынку и финансовым институтам;</w:t>
      </w:r>
    </w:p>
    <w:p w14:paraId="0E4F33B6">
      <w:pPr>
        <w:pStyle w:val="4"/>
        <w:spacing w:before="200"/>
        <w:ind w:firstLine="540"/>
        <w:jc w:val="both"/>
      </w:pPr>
      <w:r>
        <w:rPr>
          <w:sz w:val="20"/>
        </w:rPr>
        <w:t>обеспечение финансовой безопасности, в том числе финансовой кибербезопасности, путем формирования у граждан навыков, установок и поведенческих практик для защиты от возможных рисков в финансовой сфере, эффективного противодействия нелегальной деятельности на финансовом рынке и мошенничеству;</w:t>
      </w:r>
    </w:p>
    <w:p w14:paraId="0D517EF1">
      <w:pPr>
        <w:pStyle w:val="4"/>
        <w:spacing w:before="200"/>
        <w:ind w:firstLine="540"/>
        <w:jc w:val="both"/>
      </w:pPr>
      <w:r>
        <w:rPr>
          <w:sz w:val="20"/>
        </w:rPr>
        <w:t>обеспечение подготовки кадров в сфере финансовой грамотности;</w:t>
      </w:r>
    </w:p>
    <w:p w14:paraId="6F711177">
      <w:pPr>
        <w:pStyle w:val="4"/>
        <w:spacing w:before="200"/>
        <w:ind w:firstLine="540"/>
        <w:jc w:val="both"/>
      </w:pPr>
      <w:r>
        <w:rPr>
          <w:sz w:val="20"/>
        </w:rPr>
        <w:t>обеспечение регулярного мониторинга состояния финансовой грамотности и финансовой культуры в Российской Федерации, в том числе по субъектам Российской Федерации;</w:t>
      </w:r>
    </w:p>
    <w:p w14:paraId="1595F274">
      <w:pPr>
        <w:pStyle w:val="4"/>
        <w:spacing w:before="200"/>
        <w:ind w:firstLine="540"/>
        <w:jc w:val="both"/>
      </w:pPr>
      <w:r>
        <w:rPr>
          <w:sz w:val="20"/>
        </w:rPr>
        <w:t>обеспечение открытости (прозрачности) бюджетов бюджетной системы Российской Федерации для осуществления контроля за эффективным использованием бюджетных средств в целях воспитания гражданской ответственности и укрепления доверия граждан к органам государственной власти и органам местного самоуправления.</w:t>
      </w:r>
    </w:p>
    <w:p w14:paraId="618DD110">
      <w:pPr>
        <w:pStyle w:val="4"/>
        <w:jc w:val="both"/>
      </w:pPr>
    </w:p>
    <w:p w14:paraId="02CE0BAF">
      <w:pPr>
        <w:pStyle w:val="6"/>
        <w:jc w:val="center"/>
        <w:outlineLvl w:val="1"/>
      </w:pPr>
      <w:r>
        <w:rPr>
          <w:sz w:val="20"/>
        </w:rPr>
        <w:t>IV. Ожидаемые результаты реализации Стратегии, ключевые</w:t>
      </w:r>
    </w:p>
    <w:p w14:paraId="2080F944">
      <w:pPr>
        <w:pStyle w:val="6"/>
        <w:jc w:val="center"/>
      </w:pPr>
      <w:r>
        <w:rPr>
          <w:sz w:val="20"/>
        </w:rPr>
        <w:t>характеристики финансовой грамотности и финансовой культуры</w:t>
      </w:r>
    </w:p>
    <w:p w14:paraId="7594BF9F">
      <w:pPr>
        <w:pStyle w:val="4"/>
        <w:jc w:val="both"/>
      </w:pPr>
    </w:p>
    <w:p w14:paraId="79C8901B">
      <w:pPr>
        <w:pStyle w:val="4"/>
        <w:ind w:firstLine="540"/>
        <w:jc w:val="both"/>
      </w:pPr>
      <w:r>
        <w:rPr>
          <w:sz w:val="20"/>
        </w:rPr>
        <w:t>Основным результатом реализации Стратегии является повышение уровня финансовой грамотности и финансовой культуры, отраженное в следующих характеристиках:</w:t>
      </w:r>
    </w:p>
    <w:p w14:paraId="643DF9CE">
      <w:pPr>
        <w:pStyle w:val="4"/>
        <w:spacing w:before="200"/>
        <w:ind w:firstLine="540"/>
        <w:jc w:val="both"/>
      </w:pPr>
      <w:r>
        <w:rPr>
          <w:sz w:val="20"/>
        </w:rPr>
        <w:t>в сфере личных финансов:</w:t>
      </w:r>
    </w:p>
    <w:p w14:paraId="370C4BD5">
      <w:pPr>
        <w:pStyle w:val="4"/>
        <w:spacing w:before="200"/>
        <w:ind w:firstLine="540"/>
        <w:jc w:val="both"/>
      </w:pPr>
      <w:r>
        <w:rPr>
          <w:sz w:val="20"/>
        </w:rPr>
        <w:t>планирование финансов, ведение учета личных доходов и расходов, умение ставить перед собой краткосрочные и долгосрочные финансовые цели и выстраивать траекторию достижения этих целей;</w:t>
      </w:r>
    </w:p>
    <w:p w14:paraId="3DCBE731">
      <w:pPr>
        <w:pStyle w:val="4"/>
        <w:spacing w:before="200"/>
        <w:ind w:firstLine="540"/>
        <w:jc w:val="both"/>
      </w:pPr>
      <w:r>
        <w:rPr>
          <w:sz w:val="20"/>
        </w:rPr>
        <w:t>установка на рациональное и ответственное потребление во всех сферах жизнедеятельности, умение отказаться от спонтанных трат;</w:t>
      </w:r>
    </w:p>
    <w:p w14:paraId="360D33C4">
      <w:pPr>
        <w:pStyle w:val="4"/>
        <w:spacing w:before="200"/>
        <w:ind w:firstLine="540"/>
        <w:jc w:val="both"/>
      </w:pPr>
      <w:r>
        <w:rPr>
          <w:sz w:val="20"/>
        </w:rPr>
        <w:t>осознанный выбор финансовой организации и умение проверить ее надежность, умение выбрать финансовые продукты, соответствующие жизненной ситуации и целям гражданина;</w:t>
      </w:r>
    </w:p>
    <w:p w14:paraId="1D719E62">
      <w:pPr>
        <w:pStyle w:val="4"/>
        <w:spacing w:before="200"/>
        <w:ind w:firstLine="540"/>
        <w:jc w:val="both"/>
      </w:pPr>
      <w:r>
        <w:rPr>
          <w:sz w:val="20"/>
        </w:rPr>
        <w:t>умение пользоваться платежными инструментами;</w:t>
      </w:r>
    </w:p>
    <w:p w14:paraId="0AF5F926">
      <w:pPr>
        <w:pStyle w:val="4"/>
        <w:spacing w:before="200"/>
        <w:ind w:firstLine="540"/>
        <w:jc w:val="both"/>
      </w:pPr>
      <w:r>
        <w:rPr>
          <w:sz w:val="20"/>
        </w:rPr>
        <w:t>ответственное заимствование, умение оценить свои финансовые возможности при принятии решения о получении кредита (займа), дисциплинированное обслуживание кредитов (займов), понимание кредитной истории, индивидуального кредитного рейтинга, условий личного банкротства и его последствий;</w:t>
      </w:r>
    </w:p>
    <w:p w14:paraId="3AACED1C">
      <w:pPr>
        <w:pStyle w:val="4"/>
        <w:spacing w:before="200"/>
        <w:ind w:firstLine="540"/>
        <w:jc w:val="both"/>
      </w:pPr>
      <w:r>
        <w:rPr>
          <w:sz w:val="20"/>
        </w:rPr>
        <w:t>наличие установки на формирование сбережений для различных жизненных ситуаций (крупные покупки, непредвиденные трудности, будущая пенсия и др.) и умение реализовать эту установку, формирование и поддержание резервного фонда ("финансовой подушки безопасности") на 3 - 6 месяцев;</w:t>
      </w:r>
    </w:p>
    <w:p w14:paraId="582D32C5">
      <w:pPr>
        <w:pStyle w:val="4"/>
        <w:spacing w:before="200"/>
        <w:ind w:firstLine="540"/>
        <w:jc w:val="both"/>
      </w:pPr>
      <w:r>
        <w:rPr>
          <w:sz w:val="20"/>
        </w:rPr>
        <w:t>понимание сущности инвестирования и адекватное представление об уровне принимаемых рыночных, кредитных, операционных, инфраструктурных, других внешних и внутренних рисков, умение выбирать подходящие инвестиционные продукты с учетом приемлемого уровня риска, установка на диверсификацию и долгосрочность вложений;</w:t>
      </w:r>
    </w:p>
    <w:p w14:paraId="745B8221">
      <w:pPr>
        <w:pStyle w:val="4"/>
        <w:spacing w:before="200"/>
        <w:ind w:firstLine="540"/>
        <w:jc w:val="both"/>
      </w:pPr>
      <w:r>
        <w:rPr>
          <w:sz w:val="20"/>
        </w:rPr>
        <w:t>умение управлять личными рисками, в том числе путем страхования, осознанный выбор подходящих страховых продуктов;</w:t>
      </w:r>
    </w:p>
    <w:p w14:paraId="7F947AC2">
      <w:pPr>
        <w:pStyle w:val="4"/>
        <w:spacing w:before="200"/>
        <w:ind w:firstLine="540"/>
        <w:jc w:val="both"/>
      </w:pPr>
      <w:r>
        <w:rPr>
          <w:sz w:val="20"/>
        </w:rPr>
        <w:t>планирование и регулярное формирование дополнительных накоплений к будущей пенсии;</w:t>
      </w:r>
    </w:p>
    <w:p w14:paraId="49274C2B">
      <w:pPr>
        <w:pStyle w:val="4"/>
        <w:spacing w:before="200"/>
        <w:ind w:firstLine="540"/>
        <w:jc w:val="both"/>
      </w:pPr>
      <w:r>
        <w:rPr>
          <w:sz w:val="20"/>
        </w:rPr>
        <w:t>умение защищать свои права потребителя с помощью правовых инструментов, в том числе в цифровой среде;</w:t>
      </w:r>
    </w:p>
    <w:p w14:paraId="37E4722E">
      <w:pPr>
        <w:pStyle w:val="4"/>
        <w:spacing w:before="200"/>
        <w:ind w:firstLine="540"/>
        <w:jc w:val="both"/>
      </w:pPr>
      <w:r>
        <w:rPr>
          <w:sz w:val="20"/>
        </w:rPr>
        <w:t>понимание сути инфляции, информированность о целевом показателе инфляции и его учет при формировании инфляционных ожиданий, потребительских и сберегательных стратегий;</w:t>
      </w:r>
    </w:p>
    <w:p w14:paraId="61027061">
      <w:pPr>
        <w:pStyle w:val="4"/>
        <w:spacing w:before="200"/>
        <w:ind w:firstLine="540"/>
        <w:jc w:val="both"/>
      </w:pPr>
      <w:r>
        <w:rPr>
          <w:sz w:val="20"/>
        </w:rPr>
        <w:t>готовность к приобретению знаний о новых финансовых технологиях и финансовых инструментах (цифровой рубль, партнерское финансирование, цифровые финансовые активы, утилитарные цифровые права, криптоактивы, инвестиционные платформы, финансовые платформы, использование искусственного интеллекта в финансовой сфере и др.) и осознанный подход к их использованию в своей практике;</w:t>
      </w:r>
    </w:p>
    <w:p w14:paraId="31E269DF">
      <w:pPr>
        <w:pStyle w:val="4"/>
        <w:spacing w:before="200"/>
        <w:ind w:firstLine="540"/>
        <w:jc w:val="both"/>
      </w:pPr>
      <w:r>
        <w:rPr>
          <w:sz w:val="20"/>
        </w:rPr>
        <w:t>в сфере общественных финансов:</w:t>
      </w:r>
    </w:p>
    <w:p w14:paraId="79CD420F">
      <w:pPr>
        <w:pStyle w:val="4"/>
        <w:spacing w:before="200"/>
        <w:ind w:firstLine="540"/>
        <w:jc w:val="both"/>
      </w:pPr>
      <w:r>
        <w:rPr>
          <w:sz w:val="20"/>
        </w:rPr>
        <w:t>понимание смысла уплаты налогов как источника доходов государства, благодаря которому оно предоставляет гражданам необходимые им блага;</w:t>
      </w:r>
    </w:p>
    <w:p w14:paraId="3A6B07AA">
      <w:pPr>
        <w:pStyle w:val="4"/>
        <w:spacing w:before="200"/>
        <w:ind w:firstLine="540"/>
        <w:jc w:val="both"/>
      </w:pPr>
      <w:r>
        <w:rPr>
          <w:sz w:val="20"/>
        </w:rPr>
        <w:t>установка на официальное трудоустройство, понимание взаимосвязи официальной заработной платы и уровня пенсионного обеспечения в будущем;</w:t>
      </w:r>
    </w:p>
    <w:p w14:paraId="49875EC6">
      <w:pPr>
        <w:pStyle w:val="4"/>
        <w:spacing w:before="200"/>
        <w:ind w:firstLine="540"/>
        <w:jc w:val="both"/>
      </w:pPr>
      <w:r>
        <w:rPr>
          <w:sz w:val="20"/>
        </w:rPr>
        <w:t>установка на соблюдение положений законодательства Российской Федерации о налогах и сборах, ориентация на работу с официальной зарплатой, регистрацией в качестве индивидуального предпринимателя или плательщика налога на профессиональный доход;</w:t>
      </w:r>
    </w:p>
    <w:p w14:paraId="76ADF44F">
      <w:pPr>
        <w:pStyle w:val="4"/>
        <w:spacing w:before="200"/>
        <w:ind w:firstLine="540"/>
        <w:jc w:val="both"/>
      </w:pPr>
      <w:r>
        <w:rPr>
          <w:sz w:val="20"/>
        </w:rPr>
        <w:t>выбор подходящего налогового режима для бизнеса, использование полагающихся налоговых льгот;</w:t>
      </w:r>
    </w:p>
    <w:p w14:paraId="7AF87978">
      <w:pPr>
        <w:pStyle w:val="4"/>
        <w:spacing w:before="200"/>
        <w:ind w:firstLine="540"/>
        <w:jc w:val="both"/>
      </w:pPr>
      <w:r>
        <w:rPr>
          <w:sz w:val="20"/>
        </w:rPr>
        <w:t>знания о бюджетах бюджетной системы Российской Федерации, о структуре их доходов и направлениях расходов;</w:t>
      </w:r>
    </w:p>
    <w:p w14:paraId="7D54401C">
      <w:pPr>
        <w:pStyle w:val="4"/>
        <w:spacing w:before="200"/>
        <w:ind w:firstLine="540"/>
        <w:jc w:val="both"/>
      </w:pPr>
      <w:r>
        <w:rPr>
          <w:sz w:val="20"/>
        </w:rPr>
        <w:t>установка на участие в проектах инициативного бюджетирования, иных практиках, а также использование других существующих инструментов участия граждан в бюджетном процессе;</w:t>
      </w:r>
    </w:p>
    <w:p w14:paraId="00331BF7">
      <w:pPr>
        <w:pStyle w:val="4"/>
        <w:spacing w:before="200"/>
        <w:ind w:firstLine="540"/>
        <w:jc w:val="both"/>
      </w:pPr>
      <w:r>
        <w:rPr>
          <w:sz w:val="20"/>
        </w:rPr>
        <w:t>использование полагающихся по закону государственных и муниципальных услуг и льгот, социальных выплат;</w:t>
      </w:r>
    </w:p>
    <w:p w14:paraId="61A81139">
      <w:pPr>
        <w:pStyle w:val="4"/>
        <w:spacing w:before="200"/>
        <w:ind w:firstLine="540"/>
        <w:jc w:val="both"/>
      </w:pPr>
      <w:r>
        <w:rPr>
          <w:sz w:val="20"/>
        </w:rPr>
        <w:t>в сфере финансовой безопасности, в том числе финансовой кибербезопасности:</w:t>
      </w:r>
    </w:p>
    <w:p w14:paraId="4EEFE207">
      <w:pPr>
        <w:pStyle w:val="4"/>
        <w:spacing w:before="200"/>
        <w:ind w:firstLine="540"/>
        <w:jc w:val="both"/>
      </w:pPr>
      <w:r>
        <w:rPr>
          <w:sz w:val="20"/>
        </w:rPr>
        <w:t>понимание требований финансовой безопасности как личной ответственности потребителя, соблюдение правил финансовой безопасности при управлении личными финансами;</w:t>
      </w:r>
    </w:p>
    <w:p w14:paraId="26B1C6CD">
      <w:pPr>
        <w:pStyle w:val="4"/>
        <w:spacing w:before="200"/>
        <w:ind w:firstLine="540"/>
        <w:jc w:val="both"/>
      </w:pPr>
      <w:r>
        <w:rPr>
          <w:sz w:val="20"/>
        </w:rPr>
        <w:t>знание и умение безопасно пользоваться цифровыми финансовыми технологиями;</w:t>
      </w:r>
    </w:p>
    <w:p w14:paraId="63E22063">
      <w:pPr>
        <w:pStyle w:val="4"/>
        <w:spacing w:before="200"/>
        <w:ind w:firstLine="540"/>
        <w:jc w:val="both"/>
      </w:pPr>
      <w:r>
        <w:rPr>
          <w:sz w:val="20"/>
        </w:rPr>
        <w:t>умение распознавать нелегальных участников финансового рынка и "финансовые пирамиды", распознавать и противостоять угрозе мошенничества, в том числе связанного с использованием социальной инженерии;</w:t>
      </w:r>
    </w:p>
    <w:p w14:paraId="6C98942E">
      <w:pPr>
        <w:pStyle w:val="4"/>
        <w:spacing w:before="200"/>
        <w:ind w:firstLine="540"/>
        <w:jc w:val="both"/>
      </w:pPr>
      <w:r>
        <w:rPr>
          <w:sz w:val="20"/>
        </w:rPr>
        <w:t>умение осмотрительно относиться к размещению в информационно-телекоммуникационной сети "Интернет" личных данных, в том числе финансовых, сокращать свой "цифровой след";</w:t>
      </w:r>
    </w:p>
    <w:p w14:paraId="11CA8C00">
      <w:pPr>
        <w:pStyle w:val="4"/>
        <w:spacing w:before="200"/>
        <w:ind w:firstLine="540"/>
        <w:jc w:val="both"/>
      </w:pPr>
      <w:r>
        <w:rPr>
          <w:sz w:val="20"/>
        </w:rPr>
        <w:t>установка на взаимодействие с финансовыми организациями и правоохранительными органами в случае обнаружения мошеннических действий.</w:t>
      </w:r>
    </w:p>
    <w:p w14:paraId="72CD7B1B">
      <w:pPr>
        <w:pStyle w:val="4"/>
        <w:spacing w:before="200"/>
        <w:ind w:firstLine="540"/>
        <w:jc w:val="both"/>
      </w:pPr>
      <w:r>
        <w:rPr>
          <w:sz w:val="20"/>
        </w:rPr>
        <w:t>При этом работа в рамках реализации Стратегии должна учитывать характеристики финансовой грамотности и финансовой культуры на отдельных стадиях жизненного цикла гражданина, быть сконцентрированной на актуальных вопросах для детей и подростков, молодых граждан, взрослых экономически активных граждан и граждан старшего возраста;</w:t>
      </w:r>
    </w:p>
    <w:p w14:paraId="60A7432E">
      <w:pPr>
        <w:pStyle w:val="4"/>
        <w:spacing w:before="200"/>
        <w:ind w:firstLine="540"/>
        <w:jc w:val="both"/>
      </w:pPr>
      <w:r>
        <w:rPr>
          <w:sz w:val="20"/>
        </w:rPr>
        <w:t>в отношении детей и подростков - освоение базовых основ финансовой грамотности и финансовой культуры через образование, воспитание и опыт:</w:t>
      </w:r>
    </w:p>
    <w:p w14:paraId="7D7C991F">
      <w:pPr>
        <w:pStyle w:val="4"/>
        <w:spacing w:before="200"/>
        <w:ind w:firstLine="540"/>
        <w:jc w:val="both"/>
      </w:pPr>
      <w:r>
        <w:rPr>
          <w:sz w:val="20"/>
        </w:rPr>
        <w:t>базовое понимание того, что такое деньги, как их можно заработать и как их правильно тратить, как планировать личный бюджет, ставить и достигать финансовые цели;</w:t>
      </w:r>
    </w:p>
    <w:p w14:paraId="6FE161D2">
      <w:pPr>
        <w:pStyle w:val="4"/>
        <w:spacing w:before="200"/>
        <w:ind w:firstLine="540"/>
        <w:jc w:val="both"/>
      </w:pPr>
      <w:r>
        <w:rPr>
          <w:sz w:val="20"/>
        </w:rPr>
        <w:t>получение первого опыта откладывания денег на самостоятельные покупки;</w:t>
      </w:r>
    </w:p>
    <w:p w14:paraId="532FFF55">
      <w:pPr>
        <w:pStyle w:val="4"/>
        <w:spacing w:before="200"/>
        <w:ind w:firstLine="540"/>
        <w:jc w:val="both"/>
      </w:pPr>
      <w:r>
        <w:rPr>
          <w:sz w:val="20"/>
        </w:rPr>
        <w:t>получение базовых представлений об основах безопасного пользования цифровыми финансовыми технологиями;</w:t>
      </w:r>
    </w:p>
    <w:p w14:paraId="681DEAB7">
      <w:pPr>
        <w:pStyle w:val="4"/>
        <w:spacing w:before="200"/>
        <w:ind w:firstLine="540"/>
        <w:jc w:val="both"/>
      </w:pPr>
      <w:r>
        <w:rPr>
          <w:sz w:val="20"/>
        </w:rPr>
        <w:t>обучение базовым навыкам математических расчетов и критического мышления, необходимых для действий в финансовой сфере;</w:t>
      </w:r>
    </w:p>
    <w:p w14:paraId="4FBEBC9E">
      <w:pPr>
        <w:pStyle w:val="4"/>
        <w:spacing w:before="200"/>
        <w:ind w:firstLine="540"/>
        <w:jc w:val="both"/>
      </w:pPr>
      <w:r>
        <w:rPr>
          <w:sz w:val="20"/>
        </w:rPr>
        <w:t>получение базовых представлений о том, как устроен финансовый рынок, какие на нем существуют организации и финансовые продукты, получение первого опыта использования доступных финансовых продуктов;</w:t>
      </w:r>
    </w:p>
    <w:p w14:paraId="7695F3FF">
      <w:pPr>
        <w:pStyle w:val="4"/>
        <w:spacing w:before="200"/>
        <w:ind w:firstLine="540"/>
        <w:jc w:val="both"/>
      </w:pPr>
      <w:r>
        <w:rPr>
          <w:sz w:val="20"/>
        </w:rPr>
        <w:t>получение базовых представлений о том, как устроены бюджеты бюджетной системы Российской Федерации, получение первого опыта работы с информацией в формате "Бюджет для граждан";</w:t>
      </w:r>
    </w:p>
    <w:p w14:paraId="647AE5F7">
      <w:pPr>
        <w:pStyle w:val="4"/>
        <w:spacing w:before="200"/>
        <w:ind w:firstLine="540"/>
        <w:jc w:val="both"/>
      </w:pPr>
      <w:r>
        <w:rPr>
          <w:sz w:val="20"/>
        </w:rPr>
        <w:t>выработка установки на участие в практиках школьного инициативного бюджетирования, иных практиках;</w:t>
      </w:r>
    </w:p>
    <w:p w14:paraId="1E0BC9E1">
      <w:pPr>
        <w:pStyle w:val="4"/>
        <w:spacing w:before="200"/>
        <w:ind w:firstLine="540"/>
        <w:jc w:val="both"/>
      </w:pPr>
      <w:r>
        <w:rPr>
          <w:sz w:val="20"/>
        </w:rPr>
        <w:t>получение базовых представлений о том, какие риски существуют в сфере финансов и как с ними справляться;</w:t>
      </w:r>
    </w:p>
    <w:p w14:paraId="41A1875B">
      <w:pPr>
        <w:pStyle w:val="4"/>
        <w:spacing w:before="200"/>
        <w:ind w:firstLine="540"/>
        <w:jc w:val="both"/>
      </w:pPr>
      <w:r>
        <w:rPr>
          <w:sz w:val="20"/>
        </w:rPr>
        <w:t>в отношении молодых граждан - владение навыками и установками для удовлетворения текущих потребностей и формирование основы для удовлетворения будущих потребностей:</w:t>
      </w:r>
    </w:p>
    <w:p w14:paraId="7221A89F">
      <w:pPr>
        <w:pStyle w:val="4"/>
        <w:spacing w:before="200"/>
        <w:ind w:firstLine="540"/>
        <w:jc w:val="both"/>
      </w:pPr>
      <w:r>
        <w:rPr>
          <w:sz w:val="20"/>
        </w:rPr>
        <w:t>умение рационально распоряжаться деньгами, освоение навыков финансового планирования;</w:t>
      </w:r>
    </w:p>
    <w:p w14:paraId="3CE5367E">
      <w:pPr>
        <w:pStyle w:val="4"/>
        <w:spacing w:before="200"/>
        <w:ind w:firstLine="540"/>
        <w:jc w:val="both"/>
      </w:pPr>
      <w:r>
        <w:rPr>
          <w:sz w:val="20"/>
        </w:rPr>
        <w:t>умение выбирать и использовать подходящие кредитные продукты, в том числе ипотеку (с учетом недостаточности собственных доходов на покрытие всех потребностей на этой стадии жизненного цикла);</w:t>
      </w:r>
    </w:p>
    <w:p w14:paraId="1E0A4942">
      <w:pPr>
        <w:pStyle w:val="4"/>
        <w:spacing w:before="200"/>
        <w:ind w:firstLine="540"/>
        <w:jc w:val="both"/>
      </w:pPr>
      <w:r>
        <w:rPr>
          <w:sz w:val="20"/>
        </w:rPr>
        <w:t>осознание необходимости начинать формировать сбережения и инвестировать свободные средства как можно раньше, в том числе для формирования стабильных доходов в будущем;</w:t>
      </w:r>
    </w:p>
    <w:p w14:paraId="4BDB7E91">
      <w:pPr>
        <w:pStyle w:val="4"/>
        <w:spacing w:before="200"/>
        <w:ind w:firstLine="540"/>
        <w:jc w:val="both"/>
      </w:pPr>
      <w:r>
        <w:rPr>
          <w:sz w:val="20"/>
        </w:rPr>
        <w:t>выработка установки на добросовестное отношение к налогам;</w:t>
      </w:r>
    </w:p>
    <w:p w14:paraId="759CAB0F">
      <w:pPr>
        <w:pStyle w:val="4"/>
        <w:spacing w:before="200"/>
        <w:ind w:firstLine="540"/>
        <w:jc w:val="both"/>
      </w:pPr>
      <w:r>
        <w:rPr>
          <w:sz w:val="20"/>
        </w:rPr>
        <w:t>осознание того, что участие в практиках инициативного бюджетирования, иных практиках является инструментом формирования комфортной среды, а также фактором развития территории;</w:t>
      </w:r>
    </w:p>
    <w:p w14:paraId="2B83700E">
      <w:pPr>
        <w:pStyle w:val="4"/>
        <w:spacing w:before="200"/>
        <w:ind w:firstLine="540"/>
        <w:jc w:val="both"/>
      </w:pPr>
      <w:r>
        <w:rPr>
          <w:sz w:val="20"/>
        </w:rPr>
        <w:t>в отношении взрослых экономически активных граждан - обеспечение финансовой устойчивости и благополучия на протяжении всего жизненного цикла:</w:t>
      </w:r>
    </w:p>
    <w:p w14:paraId="643EABD1">
      <w:pPr>
        <w:pStyle w:val="4"/>
        <w:spacing w:before="200"/>
        <w:ind w:firstLine="540"/>
        <w:jc w:val="both"/>
      </w:pPr>
      <w:r>
        <w:rPr>
          <w:sz w:val="20"/>
        </w:rPr>
        <w:t>умение ставить и достигать долгосрочные финансовые цели;</w:t>
      </w:r>
    </w:p>
    <w:p w14:paraId="315E81B5">
      <w:pPr>
        <w:pStyle w:val="4"/>
        <w:spacing w:before="200"/>
        <w:ind w:firstLine="540"/>
        <w:jc w:val="both"/>
      </w:pPr>
      <w:r>
        <w:rPr>
          <w:sz w:val="20"/>
        </w:rPr>
        <w:t>умение жить по средствам и не допускать дефицита личного бюджета;</w:t>
      </w:r>
    </w:p>
    <w:p w14:paraId="4E77A774">
      <w:pPr>
        <w:pStyle w:val="4"/>
        <w:spacing w:before="200"/>
        <w:ind w:firstLine="540"/>
        <w:jc w:val="both"/>
      </w:pPr>
      <w:r>
        <w:rPr>
          <w:sz w:val="20"/>
        </w:rPr>
        <w:t>рациональное использование кредитных продуктов;</w:t>
      </w:r>
    </w:p>
    <w:p w14:paraId="0F018E8A">
      <w:pPr>
        <w:pStyle w:val="4"/>
        <w:spacing w:before="200"/>
        <w:ind w:firstLine="540"/>
        <w:jc w:val="both"/>
      </w:pPr>
      <w:r>
        <w:rPr>
          <w:sz w:val="20"/>
        </w:rPr>
        <w:t>инвестирование существенной части свободных денежных средств, формирование пенсионных накоплений;</w:t>
      </w:r>
    </w:p>
    <w:p w14:paraId="408554DB">
      <w:pPr>
        <w:pStyle w:val="4"/>
        <w:spacing w:before="200"/>
        <w:ind w:firstLine="540"/>
        <w:jc w:val="both"/>
      </w:pPr>
      <w:r>
        <w:rPr>
          <w:sz w:val="20"/>
        </w:rPr>
        <w:t>понимание разнообразных финансовых рисков и обеспечение защиты от них;</w:t>
      </w:r>
    </w:p>
    <w:p w14:paraId="6809FF99">
      <w:pPr>
        <w:pStyle w:val="4"/>
        <w:spacing w:before="200"/>
        <w:ind w:firstLine="540"/>
        <w:jc w:val="both"/>
      </w:pPr>
      <w:r>
        <w:rPr>
          <w:sz w:val="20"/>
        </w:rPr>
        <w:t>участие в публичных слушаниях и (или) общественных обсуждениях проектов бюджетов субъектов Российской Федерации и местных бюджетов и годовых отчетов об их исполнении, создание благоприятных условий жизни посредством участия в практиках инициативного бюджетирования, иных практиках;</w:t>
      </w:r>
    </w:p>
    <w:p w14:paraId="7C6CCF72">
      <w:pPr>
        <w:pStyle w:val="4"/>
        <w:spacing w:before="200"/>
        <w:ind w:firstLine="540"/>
        <w:jc w:val="both"/>
      </w:pPr>
      <w:r>
        <w:rPr>
          <w:sz w:val="20"/>
        </w:rPr>
        <w:t>забота о финансовом благополучии близких;</w:t>
      </w:r>
    </w:p>
    <w:p w14:paraId="073AD924">
      <w:pPr>
        <w:pStyle w:val="4"/>
        <w:spacing w:before="200"/>
        <w:ind w:firstLine="540"/>
        <w:jc w:val="both"/>
      </w:pPr>
      <w:r>
        <w:rPr>
          <w:sz w:val="20"/>
        </w:rPr>
        <w:t>в отношении граждан старшего возраста - обеспечение комфортного уровня жизни, защита от рисков и мошенничества:</w:t>
      </w:r>
    </w:p>
    <w:p w14:paraId="19C88996">
      <w:pPr>
        <w:pStyle w:val="4"/>
        <w:spacing w:before="200"/>
        <w:ind w:firstLine="540"/>
        <w:jc w:val="both"/>
      </w:pPr>
      <w:r>
        <w:rPr>
          <w:sz w:val="20"/>
        </w:rPr>
        <w:t>умение рационально использовать имеющиеся накопления;</w:t>
      </w:r>
    </w:p>
    <w:p w14:paraId="2030C154">
      <w:pPr>
        <w:pStyle w:val="4"/>
        <w:spacing w:before="200"/>
        <w:ind w:firstLine="540"/>
        <w:jc w:val="both"/>
      </w:pPr>
      <w:r>
        <w:rPr>
          <w:sz w:val="20"/>
        </w:rPr>
        <w:t>умение отказываться от чрезмерно рискованных инвестиционных и кредитных продуктов;</w:t>
      </w:r>
    </w:p>
    <w:p w14:paraId="120AD40E">
      <w:pPr>
        <w:pStyle w:val="4"/>
        <w:spacing w:before="200"/>
        <w:ind w:firstLine="540"/>
        <w:jc w:val="both"/>
      </w:pPr>
      <w:r>
        <w:rPr>
          <w:sz w:val="20"/>
        </w:rPr>
        <w:t>готовность получать новые знания и навыки управления личными финансами, в том числе с применением цифровых финансовых технологий;</w:t>
      </w:r>
    </w:p>
    <w:p w14:paraId="7DAB1FDB">
      <w:pPr>
        <w:pStyle w:val="4"/>
        <w:spacing w:before="200"/>
        <w:ind w:firstLine="540"/>
        <w:jc w:val="both"/>
      </w:pPr>
      <w:r>
        <w:rPr>
          <w:sz w:val="20"/>
        </w:rPr>
        <w:t>знание и использование налоговых льгот, социальных выплат, государственных и муниципальных услуг, полагающихся гражданам старшего возраста;</w:t>
      </w:r>
    </w:p>
    <w:p w14:paraId="153F022B">
      <w:pPr>
        <w:pStyle w:val="4"/>
        <w:spacing w:before="200"/>
        <w:ind w:firstLine="540"/>
        <w:jc w:val="both"/>
      </w:pPr>
      <w:r>
        <w:rPr>
          <w:sz w:val="20"/>
        </w:rPr>
        <w:t>участие в бюджетном процессе, в том числе посредством практик инициативного бюджетирования, иных практик, в том числе в целях решения актуальных проблем граждан и создания благоприятных условий жизни для следующих поколений;</w:t>
      </w:r>
    </w:p>
    <w:p w14:paraId="032CD9CA">
      <w:pPr>
        <w:pStyle w:val="4"/>
        <w:spacing w:before="200"/>
        <w:ind w:firstLine="540"/>
        <w:jc w:val="both"/>
      </w:pPr>
      <w:r>
        <w:rPr>
          <w:sz w:val="20"/>
        </w:rPr>
        <w:t>умение распознавать и противостоять мошенничеству, установка на необходимость советоваться с родственниками или другими людьми, заслуживающими доверия, в вызывающих опасения ситуациях.</w:t>
      </w:r>
    </w:p>
    <w:p w14:paraId="72B3C031">
      <w:pPr>
        <w:pStyle w:val="4"/>
        <w:jc w:val="both"/>
      </w:pPr>
    </w:p>
    <w:p w14:paraId="78FACDC0">
      <w:pPr>
        <w:pStyle w:val="6"/>
        <w:jc w:val="center"/>
        <w:outlineLvl w:val="1"/>
      </w:pPr>
      <w:r>
        <w:rPr>
          <w:sz w:val="20"/>
        </w:rPr>
        <w:t>V. Основные направления реализации Стратегии</w:t>
      </w:r>
    </w:p>
    <w:p w14:paraId="585DF8F9">
      <w:pPr>
        <w:pStyle w:val="4"/>
        <w:jc w:val="both"/>
      </w:pPr>
    </w:p>
    <w:p w14:paraId="573B0A9F">
      <w:pPr>
        <w:pStyle w:val="4"/>
        <w:ind w:firstLine="540"/>
        <w:jc w:val="both"/>
      </w:pPr>
      <w:r>
        <w:rPr>
          <w:sz w:val="20"/>
        </w:rPr>
        <w:t>Основными направлениями реализации Стратегии являются:</w:t>
      </w:r>
    </w:p>
    <w:p w14:paraId="602C84F1">
      <w:pPr>
        <w:pStyle w:val="4"/>
        <w:spacing w:before="200"/>
        <w:ind w:firstLine="540"/>
        <w:jc w:val="both"/>
      </w:pPr>
      <w:r>
        <w:rPr>
          <w:sz w:val="20"/>
        </w:rPr>
        <w:t>информационно-просветительская деятельность;</w:t>
      </w:r>
    </w:p>
    <w:p w14:paraId="281F1A18">
      <w:pPr>
        <w:pStyle w:val="4"/>
        <w:spacing w:before="200"/>
        <w:ind w:firstLine="540"/>
        <w:jc w:val="both"/>
      </w:pPr>
      <w:r>
        <w:rPr>
          <w:sz w:val="20"/>
        </w:rPr>
        <w:t>образовательная деятельность;</w:t>
      </w:r>
    </w:p>
    <w:p w14:paraId="38E49E15">
      <w:pPr>
        <w:pStyle w:val="4"/>
        <w:spacing w:before="200"/>
        <w:ind w:firstLine="540"/>
        <w:jc w:val="both"/>
      </w:pPr>
      <w:r>
        <w:rPr>
          <w:sz w:val="20"/>
        </w:rPr>
        <w:t>подготовка кадров в сфере финансовой грамотности;</w:t>
      </w:r>
    </w:p>
    <w:p w14:paraId="1E187C53">
      <w:pPr>
        <w:pStyle w:val="4"/>
        <w:spacing w:before="200"/>
        <w:ind w:firstLine="540"/>
        <w:jc w:val="both"/>
      </w:pPr>
      <w:r>
        <w:rPr>
          <w:sz w:val="20"/>
        </w:rPr>
        <w:t>взаимодействие с финансовыми организациями;</w:t>
      </w:r>
    </w:p>
    <w:p w14:paraId="7F8DDAD2">
      <w:pPr>
        <w:pStyle w:val="4"/>
        <w:spacing w:before="200"/>
        <w:ind w:firstLine="540"/>
        <w:jc w:val="both"/>
      </w:pPr>
      <w:r>
        <w:rPr>
          <w:sz w:val="20"/>
        </w:rPr>
        <w:t>взаимодействие с бизнесом;</w:t>
      </w:r>
    </w:p>
    <w:p w14:paraId="0F4A5BDC">
      <w:pPr>
        <w:pStyle w:val="4"/>
        <w:spacing w:before="200"/>
        <w:ind w:firstLine="540"/>
        <w:jc w:val="both"/>
      </w:pPr>
      <w:r>
        <w:rPr>
          <w:sz w:val="20"/>
        </w:rPr>
        <w:t>взаимодействие с гражданским обществом и некоммерческими организациями;</w:t>
      </w:r>
    </w:p>
    <w:p w14:paraId="5AA86A47">
      <w:pPr>
        <w:pStyle w:val="4"/>
        <w:spacing w:before="200"/>
        <w:ind w:firstLine="540"/>
        <w:jc w:val="both"/>
      </w:pPr>
      <w:r>
        <w:rPr>
          <w:sz w:val="20"/>
        </w:rPr>
        <w:t>развитие международного сотрудничества;</w:t>
      </w:r>
    </w:p>
    <w:p w14:paraId="37B91C17">
      <w:pPr>
        <w:pStyle w:val="4"/>
        <w:spacing w:before="200"/>
        <w:ind w:firstLine="540"/>
        <w:jc w:val="both"/>
      </w:pPr>
      <w:r>
        <w:rPr>
          <w:sz w:val="20"/>
        </w:rPr>
        <w:t>развитие практик инициативного бюджетирования, иных практик, а также обеспечение открытости бюджетной информации.</w:t>
      </w:r>
    </w:p>
    <w:p w14:paraId="11275F09">
      <w:pPr>
        <w:pStyle w:val="4"/>
        <w:jc w:val="both"/>
      </w:pPr>
    </w:p>
    <w:p w14:paraId="7CFD43BE">
      <w:pPr>
        <w:pStyle w:val="6"/>
        <w:jc w:val="center"/>
        <w:outlineLvl w:val="2"/>
      </w:pPr>
      <w:r>
        <w:rPr>
          <w:sz w:val="20"/>
        </w:rPr>
        <w:t>1. Информационно-просветительская деятельность</w:t>
      </w:r>
    </w:p>
    <w:p w14:paraId="586EEF4C">
      <w:pPr>
        <w:pStyle w:val="4"/>
        <w:jc w:val="both"/>
      </w:pPr>
    </w:p>
    <w:p w14:paraId="6719589D">
      <w:pPr>
        <w:pStyle w:val="4"/>
        <w:ind w:firstLine="540"/>
        <w:jc w:val="both"/>
      </w:pPr>
      <w:r>
        <w:rPr>
          <w:sz w:val="20"/>
        </w:rPr>
        <w:t>Целью информационно-просветительской деятельности являются популяризация финансовой грамотности и финансовой культуры, содействие закреплению знаний и навыков осознанного финансового поведения, продвижение ценностей и установок финансовой культуры в целях выработки разумных поведенческих практик.</w:t>
      </w:r>
    </w:p>
    <w:p w14:paraId="35FE1E58">
      <w:pPr>
        <w:pStyle w:val="4"/>
        <w:spacing w:before="200"/>
        <w:ind w:firstLine="540"/>
        <w:jc w:val="both"/>
      </w:pPr>
      <w:r>
        <w:rPr>
          <w:sz w:val="20"/>
        </w:rPr>
        <w:t>В задачи информационно-просветительской деятельности в области повышения финансовой грамотности и формирования финансовой культуры входят:</w:t>
      </w:r>
    </w:p>
    <w:p w14:paraId="12FCA703">
      <w:pPr>
        <w:pStyle w:val="4"/>
        <w:spacing w:before="200"/>
        <w:ind w:firstLine="540"/>
        <w:jc w:val="both"/>
      </w:pPr>
      <w:r>
        <w:rPr>
          <w:sz w:val="20"/>
        </w:rPr>
        <w:t>формирование общественного интереса к различным аспектам повышения финансовой грамотности и формирования финансовой культуры граждан через социальную рекламу и другие каналы информирования, включая продукцию креативных индустрий;</w:t>
      </w:r>
    </w:p>
    <w:p w14:paraId="4ECE0E4F">
      <w:pPr>
        <w:pStyle w:val="4"/>
        <w:spacing w:before="200"/>
        <w:ind w:firstLine="540"/>
        <w:jc w:val="both"/>
      </w:pPr>
      <w:r>
        <w:rPr>
          <w:sz w:val="20"/>
        </w:rPr>
        <w:t>продвижение ценностей и установок, обеспечивающих финансовое благополучие граждан и финансовую безопасность, в том числе ответственное заимствование, культуру сбережений и инвестирования денежных средств, повышение доверия к финансовому рынку и осведомленности о возможности вложения денежных средств в российскую экономику, контроль за персональными рисками и их страхование, отказ от нелегальных или непонятных финансовых продуктов;</w:t>
      </w:r>
    </w:p>
    <w:p w14:paraId="6965B1FC">
      <w:pPr>
        <w:pStyle w:val="4"/>
        <w:spacing w:before="200"/>
        <w:ind w:firstLine="540"/>
        <w:jc w:val="both"/>
      </w:pPr>
      <w:r>
        <w:rPr>
          <w:sz w:val="20"/>
        </w:rPr>
        <w:t>продвижение знаний, умений и навыков безопасного пользования цифровыми финансовыми технологиями, обеспечивающих финансовую кибербезопасность граждан и бизнеса;</w:t>
      </w:r>
    </w:p>
    <w:p w14:paraId="55D6D44F">
      <w:pPr>
        <w:pStyle w:val="4"/>
        <w:spacing w:before="200"/>
        <w:ind w:firstLine="540"/>
        <w:jc w:val="both"/>
      </w:pPr>
      <w:r>
        <w:rPr>
          <w:sz w:val="20"/>
        </w:rPr>
        <w:t>взаимодействие участников реализации Стратегии с различными аудиториями, включающими социально уязвимые группы граждан, с учетом их потребностей;</w:t>
      </w:r>
    </w:p>
    <w:p w14:paraId="04B8765E">
      <w:pPr>
        <w:pStyle w:val="4"/>
        <w:spacing w:before="200"/>
        <w:ind w:firstLine="540"/>
        <w:jc w:val="both"/>
      </w:pPr>
      <w:r>
        <w:rPr>
          <w:sz w:val="20"/>
        </w:rPr>
        <w:t>координация и взаимодействие между участниками реализации Стратегии, способствующие созданию информационно-просветительского контента, для повышения доверия потребителей к соответствующей информации;</w:t>
      </w:r>
    </w:p>
    <w:p w14:paraId="0252272A">
      <w:pPr>
        <w:pStyle w:val="4"/>
        <w:spacing w:before="200"/>
        <w:ind w:firstLine="540"/>
        <w:jc w:val="both"/>
      </w:pPr>
      <w:r>
        <w:rPr>
          <w:sz w:val="20"/>
        </w:rPr>
        <w:t>развитие эффективных каналов коммуникаций с учетом актуальных форматов и медиаресурсов (специализированные информационные ресурсы, официальные сайты участников Стратегии в информационно-телекоммуникационной сети "Интернет", социальные сети, мессенджеры и др.), распространение информационно-просветительского контента через различные каналы в форматах, удобных разным целевым аудиториям;</w:t>
      </w:r>
    </w:p>
    <w:p w14:paraId="7BD32A67">
      <w:pPr>
        <w:pStyle w:val="4"/>
        <w:spacing w:before="200"/>
        <w:ind w:firstLine="540"/>
        <w:jc w:val="both"/>
      </w:pPr>
      <w:r>
        <w:rPr>
          <w:sz w:val="20"/>
        </w:rPr>
        <w:t>обеспечение информирования о важности роли общественных финансов в жизни граждан, о доступных мерах социальной поддержки, а также о взаимосвязи официальной заработной платы и будущего уровня пенсионного обеспечения.</w:t>
      </w:r>
    </w:p>
    <w:p w14:paraId="6F753773">
      <w:pPr>
        <w:pStyle w:val="4"/>
        <w:jc w:val="both"/>
      </w:pPr>
    </w:p>
    <w:p w14:paraId="5F578590">
      <w:pPr>
        <w:pStyle w:val="6"/>
        <w:jc w:val="center"/>
        <w:outlineLvl w:val="2"/>
      </w:pPr>
      <w:r>
        <w:rPr>
          <w:sz w:val="20"/>
        </w:rPr>
        <w:t>2. Образовательная деятельность</w:t>
      </w:r>
    </w:p>
    <w:p w14:paraId="06895204">
      <w:pPr>
        <w:pStyle w:val="4"/>
        <w:jc w:val="both"/>
      </w:pPr>
    </w:p>
    <w:p w14:paraId="42720FED">
      <w:pPr>
        <w:pStyle w:val="4"/>
        <w:ind w:firstLine="540"/>
        <w:jc w:val="both"/>
      </w:pPr>
      <w:r>
        <w:rPr>
          <w:sz w:val="20"/>
        </w:rPr>
        <w:t>Целью образовательной деятельности являются распространение и систематизация знаний по финансовой грамотности и создание предпосылок для формирования финансовой культуры.</w:t>
      </w:r>
    </w:p>
    <w:p w14:paraId="1CA38202">
      <w:pPr>
        <w:pStyle w:val="4"/>
        <w:spacing w:before="200"/>
        <w:ind w:firstLine="540"/>
        <w:jc w:val="both"/>
      </w:pPr>
      <w:r>
        <w:rPr>
          <w:sz w:val="20"/>
        </w:rPr>
        <w:t>В задачи образовательной деятельности в области повышения финансовой грамотности и формирования финансовой культуры входят:</w:t>
      </w:r>
    </w:p>
    <w:p w14:paraId="7D7BEE17">
      <w:pPr>
        <w:pStyle w:val="4"/>
        <w:spacing w:before="200"/>
        <w:ind w:firstLine="540"/>
        <w:jc w:val="both"/>
      </w:pPr>
      <w:r>
        <w:rPr>
          <w:sz w:val="20"/>
        </w:rPr>
        <w:t>обеспечение системного подхода к повышению финансовой грамотности и формированию финансовой культуры граждан, повышению уровня финансовой безопасности, в том числе финансовой кибербезопасности;</w:t>
      </w:r>
    </w:p>
    <w:p w14:paraId="16E2BA3D">
      <w:pPr>
        <w:pStyle w:val="4"/>
        <w:spacing w:before="200"/>
        <w:ind w:firstLine="540"/>
        <w:jc w:val="both"/>
      </w:pPr>
      <w:r>
        <w:rPr>
          <w:sz w:val="20"/>
        </w:rPr>
        <w:t>разработка и утверждение критериев и требований к образовательным программам, направленных на повышение уровня финансовой грамотности и финансовой культуры, проведение мониторинга качества реализуемых программ;</w:t>
      </w:r>
    </w:p>
    <w:p w14:paraId="3D9859AD">
      <w:pPr>
        <w:pStyle w:val="4"/>
        <w:spacing w:before="200"/>
        <w:ind w:firstLine="540"/>
        <w:jc w:val="both"/>
      </w:pPr>
      <w:r>
        <w:rPr>
          <w:sz w:val="20"/>
        </w:rPr>
        <w:t>внедрение образовательных программ, учебных и методических материалов, обеспечивающих формирование финансовой культуры, в систему образования Российской Федерации на всех уровнях, их своевременная актуализация;</w:t>
      </w:r>
    </w:p>
    <w:p w14:paraId="3565AB50">
      <w:pPr>
        <w:pStyle w:val="4"/>
        <w:spacing w:before="200"/>
        <w:ind w:firstLine="540"/>
        <w:jc w:val="both"/>
      </w:pPr>
      <w:r>
        <w:rPr>
          <w:sz w:val="20"/>
        </w:rPr>
        <w:t>содействие разработке цифровых образовательных продуктов в области повышения финансовой грамотности и формирования финансовой культуры, в том числе в игровых форматах;</w:t>
      </w:r>
    </w:p>
    <w:p w14:paraId="29056FBC">
      <w:pPr>
        <w:pStyle w:val="4"/>
        <w:spacing w:before="200"/>
        <w:ind w:firstLine="540"/>
        <w:jc w:val="both"/>
      </w:pPr>
      <w:r>
        <w:rPr>
          <w:sz w:val="20"/>
        </w:rPr>
        <w:t>проведение школьных олимпиад по финансовой грамотности, в том числе тех, победителям и призерам которых предоставляются особые права при приеме на обучение в соответствии с законодательством Российской Федерации об образовании, проведение студенческих олимпиад по финансовой грамотности;</w:t>
      </w:r>
    </w:p>
    <w:p w14:paraId="1EF4348F">
      <w:pPr>
        <w:pStyle w:val="4"/>
        <w:spacing w:before="200"/>
        <w:ind w:firstLine="540"/>
        <w:jc w:val="both"/>
      </w:pPr>
      <w:r>
        <w:rPr>
          <w:sz w:val="20"/>
        </w:rPr>
        <w:t>подготовка и регулярное повышение квалификации педагогических работников дошкольных образовательных, общеобразовательных и профессиональных образовательных организаций, преподавателей образовательных организаций высшего образования;</w:t>
      </w:r>
    </w:p>
    <w:p w14:paraId="456B7DB6">
      <w:pPr>
        <w:pStyle w:val="4"/>
        <w:spacing w:before="200"/>
        <w:ind w:firstLine="540"/>
        <w:jc w:val="both"/>
      </w:pPr>
      <w:r>
        <w:rPr>
          <w:sz w:val="20"/>
        </w:rPr>
        <w:t>выявление и продвижение лучших педагогических практик при преподавании финансовой грамотности посредством проведения конкурсов профессионального мастерства для педагогических работников, преподающих образовательные программы, содержащие элементы финансовой грамотности;</w:t>
      </w:r>
    </w:p>
    <w:p w14:paraId="063E794D">
      <w:pPr>
        <w:pStyle w:val="4"/>
        <w:spacing w:before="200"/>
        <w:ind w:firstLine="540"/>
        <w:jc w:val="both"/>
      </w:pPr>
      <w:r>
        <w:rPr>
          <w:sz w:val="20"/>
        </w:rPr>
        <w:t>проведение оценки образовательных достижений учащихся общеобразовательных организаций по направлению финансовой грамотности и финансовой культуры;</w:t>
      </w:r>
    </w:p>
    <w:p w14:paraId="20483B5D">
      <w:pPr>
        <w:pStyle w:val="4"/>
        <w:spacing w:before="200"/>
        <w:ind w:firstLine="540"/>
        <w:jc w:val="both"/>
      </w:pPr>
      <w:r>
        <w:rPr>
          <w:sz w:val="20"/>
        </w:rPr>
        <w:t>развитие институциональной инфраструктуры и учебно-методических ресурсов образовательного сообщества;</w:t>
      </w:r>
    </w:p>
    <w:p w14:paraId="538BDEA0">
      <w:pPr>
        <w:pStyle w:val="4"/>
        <w:spacing w:before="200"/>
        <w:ind w:firstLine="540"/>
        <w:jc w:val="both"/>
      </w:pPr>
      <w:r>
        <w:rPr>
          <w:sz w:val="20"/>
        </w:rPr>
        <w:t>обеспечение доступности обучения и самообучения в области повышения финансовой грамотности и формирования финансовой культуры;</w:t>
      </w:r>
    </w:p>
    <w:p w14:paraId="40098452">
      <w:pPr>
        <w:pStyle w:val="4"/>
        <w:spacing w:before="200"/>
        <w:ind w:firstLine="540"/>
        <w:jc w:val="both"/>
      </w:pPr>
      <w:r>
        <w:rPr>
          <w:sz w:val="20"/>
        </w:rPr>
        <w:t>анализ общественного мнения по вопросам финансовой грамотности и финансовой культуры, изучение потребностей общества в получении знаний в области финансовой грамотности и финансовой культуры и обеспечение своевременной реакции на соответствующие запросы;</w:t>
      </w:r>
    </w:p>
    <w:p w14:paraId="44883772">
      <w:pPr>
        <w:pStyle w:val="4"/>
        <w:spacing w:before="200"/>
        <w:ind w:firstLine="540"/>
        <w:jc w:val="both"/>
      </w:pPr>
      <w:r>
        <w:rPr>
          <w:sz w:val="20"/>
        </w:rPr>
        <w:t>адаптация образовательных программ с учетом распространенных когнитивных искажений, специфики социокультурных характеристик, в том числе в субъектах Российской Федерации.</w:t>
      </w:r>
    </w:p>
    <w:p w14:paraId="06589AFD">
      <w:pPr>
        <w:pStyle w:val="4"/>
        <w:jc w:val="both"/>
      </w:pPr>
    </w:p>
    <w:p w14:paraId="0D1E9307">
      <w:pPr>
        <w:pStyle w:val="6"/>
        <w:jc w:val="center"/>
        <w:outlineLvl w:val="2"/>
      </w:pPr>
      <w:r>
        <w:rPr>
          <w:sz w:val="20"/>
        </w:rPr>
        <w:t>3. Подготовка кадров в сфере финансовой грамотности</w:t>
      </w:r>
    </w:p>
    <w:p w14:paraId="46476B11">
      <w:pPr>
        <w:pStyle w:val="4"/>
        <w:jc w:val="both"/>
      </w:pPr>
    </w:p>
    <w:p w14:paraId="12290274">
      <w:pPr>
        <w:pStyle w:val="4"/>
        <w:ind w:firstLine="540"/>
        <w:jc w:val="both"/>
      </w:pPr>
      <w:r>
        <w:rPr>
          <w:sz w:val="20"/>
        </w:rPr>
        <w:t>Целью подготовки кадров в сфере финансовой грамотности является развитие кадрового потенциала учителей, преподавателей, администраторов образовательных организаций, государственных служащих, сотрудников органов социальной защиты населения, финансовых организаций, некоммерческих организаций, граждан, вовлеченных в добровольческую (волонтерскую) деятельность в области финансового просвещения, способствующих распространению знаний в области повышения финансовой грамотности и формирования финансовой культуры.</w:t>
      </w:r>
    </w:p>
    <w:p w14:paraId="612D6DC2">
      <w:pPr>
        <w:pStyle w:val="4"/>
        <w:spacing w:before="200"/>
        <w:ind w:firstLine="540"/>
        <w:jc w:val="both"/>
      </w:pPr>
      <w:r>
        <w:rPr>
          <w:sz w:val="20"/>
        </w:rPr>
        <w:t>В задачи подготовки кадров в сфере финансовой грамотности входят:</w:t>
      </w:r>
    </w:p>
    <w:p w14:paraId="05F07B8E">
      <w:pPr>
        <w:pStyle w:val="4"/>
        <w:spacing w:before="200"/>
        <w:ind w:firstLine="540"/>
        <w:jc w:val="both"/>
      </w:pPr>
      <w:r>
        <w:rPr>
          <w:sz w:val="20"/>
        </w:rPr>
        <w:t>создание и функционирование многоуровневой каскадной системы обучения и повышения квалификации для всех целевых групп, при которой специалисты, прошедшие обучение в федеральных методических центрах повышения финансовой грамотности населения, в дальнейшем осуществляют подготовку специалистов на региональном уровне, а те, в свою очередь, взаимодействуют с гражданами;</w:t>
      </w:r>
    </w:p>
    <w:p w14:paraId="32895DF0">
      <w:pPr>
        <w:pStyle w:val="4"/>
        <w:spacing w:before="200"/>
        <w:ind w:firstLine="540"/>
        <w:jc w:val="both"/>
      </w:pPr>
      <w:r>
        <w:rPr>
          <w:sz w:val="20"/>
        </w:rPr>
        <w:t>создание и поддержка эффективной инфраструктуры по поддержке деятельности квалифицированных специалистов разных уровней по распространению знаний в области повышения финансовой грамотности и формирования финансовой культуры;</w:t>
      </w:r>
    </w:p>
    <w:p w14:paraId="49EDE650">
      <w:pPr>
        <w:pStyle w:val="4"/>
        <w:spacing w:before="200"/>
        <w:ind w:firstLine="540"/>
        <w:jc w:val="both"/>
      </w:pPr>
      <w:r>
        <w:rPr>
          <w:sz w:val="20"/>
        </w:rPr>
        <w:t>подготовка специалистов в области финансового просвещения.</w:t>
      </w:r>
    </w:p>
    <w:p w14:paraId="43902C08">
      <w:pPr>
        <w:pStyle w:val="4"/>
        <w:jc w:val="both"/>
      </w:pPr>
    </w:p>
    <w:p w14:paraId="4E11DD2B">
      <w:pPr>
        <w:pStyle w:val="6"/>
        <w:jc w:val="center"/>
        <w:outlineLvl w:val="2"/>
      </w:pPr>
      <w:r>
        <w:rPr>
          <w:sz w:val="20"/>
        </w:rPr>
        <w:t>4. Взаимодействие с финансовыми организациями</w:t>
      </w:r>
    </w:p>
    <w:p w14:paraId="11B0D60C">
      <w:pPr>
        <w:pStyle w:val="4"/>
        <w:jc w:val="both"/>
      </w:pPr>
    </w:p>
    <w:p w14:paraId="7D3B628E">
      <w:pPr>
        <w:pStyle w:val="4"/>
        <w:ind w:firstLine="540"/>
        <w:jc w:val="both"/>
      </w:pPr>
      <w:r>
        <w:rPr>
          <w:sz w:val="20"/>
        </w:rPr>
        <w:t>К реализации мероприятий Стратегии необходимо привлечь широкий круг участников финансового рынка и саморегулируемые организации в сфере финансового рынка. Необходимо пропагандировать культуру добросовестного предоставления финансовыми организациями финансовых услуг потребителям, стимулировать их ответственное и этичное поведение в отношении клиентов, уделять внимание вопросам верификации распространяемой ими информации в сфере финансовой грамотности.</w:t>
      </w:r>
    </w:p>
    <w:p w14:paraId="263FB791">
      <w:pPr>
        <w:pStyle w:val="4"/>
        <w:spacing w:before="200"/>
        <w:ind w:firstLine="540"/>
        <w:jc w:val="both"/>
      </w:pPr>
      <w:r>
        <w:rPr>
          <w:sz w:val="20"/>
        </w:rPr>
        <w:t>Взаимодействие государства с финансовыми организациями при реализации мероприятий Стратегии должно быть основано на принципах стратегического партнерства, недопущения конфликта интересов, обеспечения повышения доверия граждан к финансовому рынку.</w:t>
      </w:r>
    </w:p>
    <w:p w14:paraId="0A4B9914">
      <w:pPr>
        <w:pStyle w:val="4"/>
        <w:jc w:val="both"/>
      </w:pPr>
    </w:p>
    <w:p w14:paraId="3D3DF3E8">
      <w:pPr>
        <w:pStyle w:val="6"/>
        <w:jc w:val="center"/>
        <w:outlineLvl w:val="2"/>
      </w:pPr>
      <w:r>
        <w:rPr>
          <w:sz w:val="20"/>
        </w:rPr>
        <w:t>5. Взаимодействие с бизнесом</w:t>
      </w:r>
    </w:p>
    <w:p w14:paraId="1184F4CA">
      <w:pPr>
        <w:pStyle w:val="4"/>
        <w:jc w:val="both"/>
      </w:pPr>
    </w:p>
    <w:p w14:paraId="5628286D">
      <w:pPr>
        <w:pStyle w:val="4"/>
        <w:ind w:firstLine="540"/>
        <w:jc w:val="both"/>
      </w:pPr>
      <w:r>
        <w:rPr>
          <w:sz w:val="20"/>
        </w:rPr>
        <w:t>Взаимодействие с бизнесом в рамках реализации Стратегии включает следующие направления:</w:t>
      </w:r>
    </w:p>
    <w:p w14:paraId="3B4ACEE7">
      <w:pPr>
        <w:pStyle w:val="4"/>
        <w:spacing w:before="200"/>
        <w:ind w:firstLine="540"/>
        <w:jc w:val="both"/>
      </w:pPr>
      <w:r>
        <w:rPr>
          <w:sz w:val="20"/>
        </w:rPr>
        <w:t>поддержка инициатив со стороны организаций (как финансового, так и нефинансового сектора) по разработке и реализации программ, направленных на повышение уровня финансовой грамотности и финансовой культуры собственных работников в рамках внутреннего корпоративного образования;</w:t>
      </w:r>
    </w:p>
    <w:p w14:paraId="7FC34AE7">
      <w:pPr>
        <w:pStyle w:val="4"/>
        <w:spacing w:before="200"/>
        <w:ind w:firstLine="540"/>
        <w:jc w:val="both"/>
      </w:pPr>
      <w:r>
        <w:rPr>
          <w:sz w:val="20"/>
        </w:rPr>
        <w:t>создание в организациях центров финансового просвещения, работающих на постоянной основе, продвижение финансовой грамотности и финансовой культуры сотрудников как части ESG-повестки компаний;</w:t>
      </w:r>
    </w:p>
    <w:p w14:paraId="5D4F68B0">
      <w:pPr>
        <w:pStyle w:val="4"/>
        <w:spacing w:before="200"/>
        <w:ind w:firstLine="540"/>
        <w:jc w:val="both"/>
      </w:pPr>
      <w:r>
        <w:rPr>
          <w:sz w:val="20"/>
        </w:rPr>
        <w:t>обучение представителей микро- и малого бизнеса, индивидуальных предпринимателей и плательщиков налога на профессиональный доход навыкам правильного отношения к финансам в рамках предпринимательской деятельности;</w:t>
      </w:r>
    </w:p>
    <w:p w14:paraId="5C1AD0A2">
      <w:pPr>
        <w:pStyle w:val="4"/>
        <w:spacing w:before="200"/>
        <w:ind w:firstLine="540"/>
        <w:jc w:val="both"/>
      </w:pPr>
      <w:r>
        <w:rPr>
          <w:sz w:val="20"/>
        </w:rPr>
        <w:t>взаимодействие с объединениями, представляющими бизнес, и бизнес-сообществами по вопросам финансовой грамотности и финансовой культуры;</w:t>
      </w:r>
    </w:p>
    <w:p w14:paraId="48EFAF69">
      <w:pPr>
        <w:pStyle w:val="4"/>
        <w:spacing w:before="200"/>
        <w:ind w:firstLine="540"/>
        <w:jc w:val="both"/>
      </w:pPr>
      <w:r>
        <w:rPr>
          <w:sz w:val="20"/>
        </w:rPr>
        <w:t>вовлечение бизнеса в добровольческую (волонтерскую) деятельность в области финансового просвещения.</w:t>
      </w:r>
    </w:p>
    <w:p w14:paraId="2EBA6BC7">
      <w:pPr>
        <w:pStyle w:val="4"/>
        <w:spacing w:before="200"/>
        <w:ind w:firstLine="540"/>
        <w:jc w:val="both"/>
      </w:pPr>
      <w:r>
        <w:rPr>
          <w:sz w:val="20"/>
        </w:rPr>
        <w:t>Последующее развитие корпоративных программ долгосрочного накопления позволит максимально увеличить охват работающих граждан, у которых при участии работодателей будет формироваться дополнительный доход к будущей пенсии независимо от уровня финансового обеспечения.</w:t>
      </w:r>
    </w:p>
    <w:p w14:paraId="1C565132">
      <w:pPr>
        <w:pStyle w:val="4"/>
        <w:jc w:val="both"/>
      </w:pPr>
    </w:p>
    <w:p w14:paraId="0F12BBA2">
      <w:pPr>
        <w:pStyle w:val="6"/>
        <w:jc w:val="center"/>
        <w:outlineLvl w:val="2"/>
      </w:pPr>
      <w:r>
        <w:rPr>
          <w:sz w:val="20"/>
        </w:rPr>
        <w:t>6. Взаимодействие с гражданским обществом</w:t>
      </w:r>
    </w:p>
    <w:p w14:paraId="52E8A8A5">
      <w:pPr>
        <w:pStyle w:val="6"/>
        <w:jc w:val="center"/>
      </w:pPr>
      <w:r>
        <w:rPr>
          <w:sz w:val="20"/>
        </w:rPr>
        <w:t>и некоммерческими организациями</w:t>
      </w:r>
    </w:p>
    <w:p w14:paraId="6604EBA0">
      <w:pPr>
        <w:pStyle w:val="4"/>
        <w:jc w:val="both"/>
      </w:pPr>
    </w:p>
    <w:p w14:paraId="46FC2F77">
      <w:pPr>
        <w:pStyle w:val="4"/>
        <w:ind w:firstLine="540"/>
        <w:jc w:val="both"/>
      </w:pPr>
      <w:r>
        <w:rPr>
          <w:sz w:val="20"/>
        </w:rPr>
        <w:t>К реализации мероприятий Стратегии необходимо на постоянной основе привлекать широкий круг участников, включая образовательные и научные организации, общественные объединения потребителей, объединения работодателей, иные некоммерческие организации, экспертное сообщество и активных граждан.</w:t>
      </w:r>
    </w:p>
    <w:p w14:paraId="4DA659F3">
      <w:pPr>
        <w:pStyle w:val="4"/>
        <w:spacing w:before="200"/>
        <w:ind w:firstLine="540"/>
        <w:jc w:val="both"/>
      </w:pPr>
      <w:r>
        <w:rPr>
          <w:sz w:val="20"/>
        </w:rPr>
        <w:t>Развитие взаимодействия с гражданским обществом в сфере повышения финансовой грамотности и формирования финансовой культуры должно сопровождаться формированием этических правил поведения участников такого взаимодействия.</w:t>
      </w:r>
    </w:p>
    <w:p w14:paraId="01481464">
      <w:pPr>
        <w:pStyle w:val="4"/>
        <w:spacing w:before="200"/>
        <w:ind w:firstLine="540"/>
        <w:jc w:val="both"/>
      </w:pPr>
      <w:r>
        <w:rPr>
          <w:sz w:val="20"/>
        </w:rPr>
        <w:t>Участники реализации Стратегии и некоммерческие организации поддерживают и способствуют развитию добровольчества (волонтерства) в сфере финансовой грамотности и финансовой культуры.</w:t>
      </w:r>
    </w:p>
    <w:p w14:paraId="4CE17A81">
      <w:pPr>
        <w:pStyle w:val="4"/>
        <w:jc w:val="both"/>
      </w:pPr>
    </w:p>
    <w:p w14:paraId="3C1FBEF9">
      <w:pPr>
        <w:pStyle w:val="6"/>
        <w:jc w:val="center"/>
        <w:outlineLvl w:val="2"/>
      </w:pPr>
      <w:r>
        <w:rPr>
          <w:sz w:val="20"/>
        </w:rPr>
        <w:t>7. Развитие международного сотрудничества</w:t>
      </w:r>
    </w:p>
    <w:p w14:paraId="01C77D2F">
      <w:pPr>
        <w:pStyle w:val="4"/>
        <w:jc w:val="both"/>
      </w:pPr>
    </w:p>
    <w:p w14:paraId="43F04CF5">
      <w:pPr>
        <w:pStyle w:val="4"/>
        <w:ind w:firstLine="540"/>
        <w:jc w:val="both"/>
      </w:pPr>
      <w:r>
        <w:rPr>
          <w:sz w:val="20"/>
        </w:rPr>
        <w:t>Международное сотрудничество будет направлено на продвижение результатов и расширение обмена опытом в сфере повышения финансовой грамотности и формирования финансовой культуры с зарубежными странами, в том числе со странами - членами Содружества Независимых Государств, Евразийского экономического союза, БРИКС, Шанхайской организации сотрудничества, странами - членами Альянса за финансовую доступность и других объединений.</w:t>
      </w:r>
    </w:p>
    <w:p w14:paraId="55D8CF39">
      <w:pPr>
        <w:pStyle w:val="4"/>
        <w:spacing w:before="200"/>
        <w:ind w:firstLine="540"/>
        <w:jc w:val="both"/>
      </w:pPr>
      <w:r>
        <w:rPr>
          <w:sz w:val="20"/>
        </w:rPr>
        <w:t>В рамках реализации Стратегии будет продолжена работа по следующим направлениям:</w:t>
      </w:r>
    </w:p>
    <w:p w14:paraId="222DBA17">
      <w:pPr>
        <w:pStyle w:val="4"/>
        <w:spacing w:before="200"/>
        <w:ind w:firstLine="540"/>
        <w:jc w:val="both"/>
      </w:pPr>
      <w:r>
        <w:rPr>
          <w:sz w:val="20"/>
        </w:rPr>
        <w:t>участие в работе международных организаций и объединений для внесения предложений по улучшению действующих и разработке новых руководящих документов Евразийского экономического союза, форума "Группа двадцати", форума "Азиатско-тихоокеанское экономическое сотрудничество" и других документов;</w:t>
      </w:r>
    </w:p>
    <w:p w14:paraId="686C93C1">
      <w:pPr>
        <w:pStyle w:val="4"/>
        <w:spacing w:before="200"/>
        <w:ind w:firstLine="540"/>
        <w:jc w:val="both"/>
      </w:pPr>
      <w:r>
        <w:rPr>
          <w:sz w:val="20"/>
        </w:rPr>
        <w:t>участие в международных конференциях для обмена опытом и представления информации о ходе и результатах реализации Стратегии в Российской Федерации;</w:t>
      </w:r>
    </w:p>
    <w:p w14:paraId="5005841E">
      <w:pPr>
        <w:pStyle w:val="4"/>
        <w:spacing w:before="200"/>
        <w:ind w:firstLine="540"/>
        <w:jc w:val="both"/>
      </w:pPr>
      <w:r>
        <w:rPr>
          <w:sz w:val="20"/>
        </w:rPr>
        <w:t>анализ лучших зарубежных практик по реализации национальных стратегий повышения финансовой грамотности и формирования финансовой культуры, в том числе в странах - членах Содружества Независимых Государств, и оценка возможностей их использования;</w:t>
      </w:r>
    </w:p>
    <w:p w14:paraId="19A08D49">
      <w:pPr>
        <w:pStyle w:val="4"/>
        <w:spacing w:before="200"/>
        <w:ind w:firstLine="540"/>
        <w:jc w:val="both"/>
      </w:pPr>
      <w:r>
        <w:rPr>
          <w:sz w:val="20"/>
        </w:rPr>
        <w:t>предоставление информации о российском опыте в области повышения финансовой грамотности и формирования финансовой культуры, обмен опытом с заинтересованными странами;</w:t>
      </w:r>
    </w:p>
    <w:p w14:paraId="7B3913A0">
      <w:pPr>
        <w:pStyle w:val="4"/>
        <w:spacing w:before="200"/>
        <w:ind w:firstLine="540"/>
        <w:jc w:val="both"/>
      </w:pPr>
      <w:r>
        <w:rPr>
          <w:sz w:val="20"/>
        </w:rPr>
        <w:t>масштабирование возможностей трансграничных финансовых операций для граждан;</w:t>
      </w:r>
    </w:p>
    <w:p w14:paraId="04ED7470">
      <w:pPr>
        <w:pStyle w:val="4"/>
        <w:spacing w:before="200"/>
        <w:ind w:firstLine="540"/>
        <w:jc w:val="both"/>
      </w:pPr>
      <w:r>
        <w:rPr>
          <w:sz w:val="20"/>
        </w:rPr>
        <w:t>формирование эффективной системы защиты прав потребителей и инвесторов при трансграничном оказании финансовых услуг, в том числе путем расширения регуляторного и надзорного взаимодействия Центрального банка Российской Федерации с иностранными регуляторами финансового рынка в дружественных юрисдикциях.</w:t>
      </w:r>
    </w:p>
    <w:p w14:paraId="294C25BC">
      <w:pPr>
        <w:pStyle w:val="4"/>
        <w:jc w:val="both"/>
      </w:pPr>
    </w:p>
    <w:p w14:paraId="66A48FE4">
      <w:pPr>
        <w:pStyle w:val="6"/>
        <w:jc w:val="center"/>
        <w:outlineLvl w:val="2"/>
      </w:pPr>
      <w:r>
        <w:rPr>
          <w:sz w:val="20"/>
        </w:rPr>
        <w:t>8. Развитие практик инициативного бюджетирования, иных</w:t>
      </w:r>
    </w:p>
    <w:p w14:paraId="4700E2FB">
      <w:pPr>
        <w:pStyle w:val="6"/>
        <w:jc w:val="center"/>
      </w:pPr>
      <w:r>
        <w:rPr>
          <w:sz w:val="20"/>
        </w:rPr>
        <w:t>практик, а также обеспечение открытости бюджетной информации</w:t>
      </w:r>
    </w:p>
    <w:p w14:paraId="1D2F5AEF">
      <w:pPr>
        <w:pStyle w:val="4"/>
        <w:jc w:val="both"/>
      </w:pPr>
    </w:p>
    <w:p w14:paraId="22B713DD">
      <w:pPr>
        <w:pStyle w:val="4"/>
        <w:ind w:firstLine="540"/>
        <w:jc w:val="both"/>
      </w:pPr>
      <w:r>
        <w:rPr>
          <w:sz w:val="20"/>
        </w:rPr>
        <w:t>Федеральные органы исполнительной власти, исполнительные органы субъектов Российской Федерации и органы местного самоуправления поддерживают и способствуют развитию инструментов участия граждан в бюджетном процессе, практик инициативного бюджетирования и иных практик, а также в сфере своего ведения обеспечивают размещение актуальной информации о бюджетной системе Российской Федерации в открытом и понятном формате для широкого круга лиц.</w:t>
      </w:r>
    </w:p>
    <w:p w14:paraId="613BF841">
      <w:pPr>
        <w:pStyle w:val="4"/>
        <w:jc w:val="both"/>
      </w:pPr>
    </w:p>
    <w:p w14:paraId="53E02CA5">
      <w:pPr>
        <w:pStyle w:val="6"/>
        <w:jc w:val="center"/>
        <w:outlineLvl w:val="1"/>
      </w:pPr>
      <w:r>
        <w:rPr>
          <w:sz w:val="20"/>
        </w:rPr>
        <w:t>VI. Механизмы реализации, индикаторы (показатели),</w:t>
      </w:r>
    </w:p>
    <w:p w14:paraId="2F3A0702">
      <w:pPr>
        <w:pStyle w:val="6"/>
        <w:jc w:val="center"/>
      </w:pPr>
      <w:r>
        <w:rPr>
          <w:sz w:val="20"/>
        </w:rPr>
        <w:t>мониторинг и риски реализации Стратегии</w:t>
      </w:r>
    </w:p>
    <w:p w14:paraId="6E7A4E04">
      <w:pPr>
        <w:pStyle w:val="4"/>
        <w:jc w:val="both"/>
      </w:pPr>
    </w:p>
    <w:p w14:paraId="5F4859F0">
      <w:pPr>
        <w:pStyle w:val="4"/>
        <w:ind w:firstLine="540"/>
        <w:jc w:val="both"/>
      </w:pPr>
      <w:r>
        <w:rPr>
          <w:sz w:val="20"/>
        </w:rPr>
        <w:t>Участниками реализации Стратегии являются федеральные органы исполнительной власти, исполнительные органы субъектов Российской Федерации, органы местного самоуправления, Центральный банк Российской Федерации и другие организации.</w:t>
      </w:r>
    </w:p>
    <w:p w14:paraId="2F7773B7">
      <w:pPr>
        <w:pStyle w:val="4"/>
        <w:spacing w:before="200"/>
        <w:ind w:firstLine="540"/>
        <w:jc w:val="both"/>
      </w:pPr>
      <w:r>
        <w:rPr>
          <w:sz w:val="20"/>
        </w:rPr>
        <w:t>Практическое достижение целей и задач Стратегии будет осуществляться в соответствии с планом мероприятий ("дорожной картой") по реализации Стратегии (далее - дорожная карта), утверждаемым Министерством финансов Российской Федерации совместно с Центральным банком Российской Федерации.</w:t>
      </w:r>
    </w:p>
    <w:p w14:paraId="23964722">
      <w:pPr>
        <w:pStyle w:val="4"/>
        <w:spacing w:before="200"/>
        <w:ind w:firstLine="540"/>
        <w:jc w:val="both"/>
      </w:pPr>
      <w:r>
        <w:rPr>
          <w:sz w:val="20"/>
        </w:rPr>
        <w:t>Для достижения целей и решения задач Стратегии, обеспечения координации действий участников Стратегии, а также реализации мероприятий дорожной карты создается межведомственная координационная комиссия (далее - комиссия).</w:t>
      </w:r>
    </w:p>
    <w:p w14:paraId="7358467D">
      <w:pPr>
        <w:pStyle w:val="4"/>
        <w:spacing w:before="200"/>
        <w:ind w:firstLine="540"/>
        <w:jc w:val="both"/>
      </w:pPr>
      <w:r>
        <w:rPr>
          <w:sz w:val="20"/>
        </w:rPr>
        <w:t>Полномочия, компетенция и порядок работы комиссии определяются положением, утверждаемым Правительством Российской Федерации.</w:t>
      </w:r>
    </w:p>
    <w:p w14:paraId="6D018E42">
      <w:pPr>
        <w:pStyle w:val="4"/>
        <w:spacing w:before="200"/>
        <w:ind w:firstLine="540"/>
        <w:jc w:val="both"/>
      </w:pPr>
      <w:r>
        <w:rPr>
          <w:sz w:val="20"/>
        </w:rPr>
        <w:t>Министерство финансов Российской Федерации и Центральный банк Российской Федерации участвуют в управлении реализацией Стратегии на условиях системного партнерства и паритета.</w:t>
      </w:r>
    </w:p>
    <w:p w14:paraId="0D4D622D">
      <w:pPr>
        <w:pStyle w:val="4"/>
        <w:spacing w:before="200"/>
        <w:ind w:firstLine="540"/>
        <w:jc w:val="both"/>
      </w:pPr>
      <w:r>
        <w:rPr>
          <w:sz w:val="20"/>
        </w:rPr>
        <w:t>Деятельность комиссии обеспечивается на принципах сопредседательства Министра финансов Российской Федерации (заместителя Министра финансов Российской Федерации) и Председателя Центрального банка Российской Федерации (заместителя Председателя Центрального банка Российской Федерации).</w:t>
      </w:r>
    </w:p>
    <w:p w14:paraId="5AF0F35F">
      <w:pPr>
        <w:pStyle w:val="4"/>
        <w:spacing w:before="200"/>
        <w:ind w:firstLine="540"/>
        <w:jc w:val="both"/>
      </w:pPr>
      <w:r>
        <w:rPr>
          <w:sz w:val="20"/>
        </w:rPr>
        <w:t>Состав комиссии утверждается совместным решением Министерства финансов Российской Федерации и Центрального банка Российской Федерации.</w:t>
      </w:r>
    </w:p>
    <w:p w14:paraId="3BA815C6">
      <w:pPr>
        <w:pStyle w:val="4"/>
        <w:spacing w:before="200"/>
        <w:ind w:firstLine="540"/>
        <w:jc w:val="both"/>
      </w:pPr>
      <w:r>
        <w:rPr>
          <w:sz w:val="20"/>
        </w:rPr>
        <w:t>В состав комиссии входят представители федеральных органов исполнительной власти, исполнительных органов власти субъектов Российской Федерации, Центрального банка Российской Федерации, а также представители заинтересованных организаций.</w:t>
      </w:r>
    </w:p>
    <w:p w14:paraId="3BACCFB5">
      <w:pPr>
        <w:pStyle w:val="4"/>
        <w:spacing w:before="200"/>
        <w:ind w:firstLine="540"/>
        <w:jc w:val="both"/>
      </w:pPr>
      <w:r>
        <w:rPr>
          <w:sz w:val="20"/>
        </w:rPr>
        <w:t>Представители экспертного и научного сообщества оказывают аналитическую и консультационную поддержку комиссии.</w:t>
      </w:r>
    </w:p>
    <w:p w14:paraId="54932839">
      <w:pPr>
        <w:pStyle w:val="4"/>
        <w:spacing w:before="200"/>
        <w:ind w:firstLine="540"/>
        <w:jc w:val="both"/>
      </w:pPr>
      <w:r>
        <w:rPr>
          <w:sz w:val="20"/>
        </w:rPr>
        <w:t>Инструментом достижения целей Стратегии в субъектах Российской Федерации являются государственные программы субъектов Российской Федерации (структурные элементы государственных программ субъектов Российской Федерации) и региональные программы, направленные на повышение финансовой грамотности и формирование финансовой культуры граждан.</w:t>
      </w:r>
    </w:p>
    <w:p w14:paraId="2CDFD7DE">
      <w:pPr>
        <w:pStyle w:val="4"/>
        <w:spacing w:before="200"/>
        <w:ind w:firstLine="540"/>
        <w:jc w:val="both"/>
      </w:pPr>
      <w:r>
        <w:rPr>
          <w:sz w:val="20"/>
        </w:rPr>
        <w:t xml:space="preserve">Для оценки достижения целей реализации Стратегии и мероприятий дорожной карты предусмотрены индикаторы (показатели) реализации Стратегии, которые приведены в </w:t>
      </w:r>
      <w:r>
        <w:fldChar w:fldCharType="begin"/>
      </w:r>
      <w:r>
        <w:instrText xml:space="preserve"> HYPERLINK \l "P303" \h </w:instrText>
      </w:r>
      <w:r>
        <w:fldChar w:fldCharType="separate"/>
      </w:r>
      <w:r>
        <w:rPr>
          <w:color w:val="0000FF"/>
          <w:sz w:val="20"/>
        </w:rPr>
        <w:t>приложении</w:t>
      </w:r>
      <w:r>
        <w:rPr>
          <w:color w:val="0000FF"/>
          <w:sz w:val="20"/>
        </w:rPr>
        <w:fldChar w:fldCharType="end"/>
      </w:r>
      <w:r>
        <w:rPr>
          <w:sz w:val="20"/>
        </w:rPr>
        <w:t>.</w:t>
      </w:r>
    </w:p>
    <w:p w14:paraId="1BB28F66">
      <w:pPr>
        <w:pStyle w:val="4"/>
        <w:spacing w:before="200"/>
        <w:ind w:firstLine="540"/>
        <w:jc w:val="both"/>
      </w:pPr>
      <w:r>
        <w:rPr>
          <w:sz w:val="20"/>
        </w:rPr>
        <w:t>Порядок проведения мониторинга реализации Стратегии устанавливается комиссией.</w:t>
      </w:r>
    </w:p>
    <w:p w14:paraId="04E0FF4D">
      <w:pPr>
        <w:pStyle w:val="4"/>
        <w:spacing w:before="200"/>
        <w:ind w:firstLine="540"/>
        <w:jc w:val="both"/>
      </w:pPr>
      <w:r>
        <w:rPr>
          <w:sz w:val="20"/>
        </w:rPr>
        <w:t xml:space="preserve">Центральный банк Российской Федерации и Министерство финансов Российской Федерации совместно с участниками Стратегии осуществляют мониторинг динамики изменения </w:t>
      </w:r>
      <w:r>
        <w:fldChar w:fldCharType="begin"/>
      </w:r>
      <w:r>
        <w:instrText xml:space="preserve"> HYPERLINK \l "P303" \h </w:instrText>
      </w:r>
      <w:r>
        <w:fldChar w:fldCharType="separate"/>
      </w:r>
      <w:r>
        <w:rPr>
          <w:color w:val="0000FF"/>
          <w:sz w:val="20"/>
        </w:rPr>
        <w:t>индикаторов</w:t>
      </w:r>
      <w:r>
        <w:rPr>
          <w:color w:val="0000FF"/>
          <w:sz w:val="20"/>
        </w:rPr>
        <w:fldChar w:fldCharType="end"/>
      </w:r>
      <w:r>
        <w:rPr>
          <w:sz w:val="20"/>
        </w:rPr>
        <w:t xml:space="preserve"> (показателей) реализации Стратегии. При оценке уровня финансовой культуры необходимо учитывать региональную специфику и использовать единую методологию исследований с обеспечением взаимоувязанности с проведенными исследованиями.</w:t>
      </w:r>
    </w:p>
    <w:p w14:paraId="0DE42E54">
      <w:pPr>
        <w:pStyle w:val="4"/>
        <w:spacing w:before="200"/>
        <w:ind w:firstLine="540"/>
        <w:jc w:val="both"/>
      </w:pPr>
      <w:r>
        <w:rPr>
          <w:sz w:val="20"/>
        </w:rPr>
        <w:t xml:space="preserve">Мониторинг реализации Стратегии осуществляется посредством комплексного анализа результатов мероприятий дорожной карты и достигнутых </w:t>
      </w:r>
      <w:r>
        <w:fldChar w:fldCharType="begin"/>
      </w:r>
      <w:r>
        <w:instrText xml:space="preserve"> HYPERLINK \l "P303" \h </w:instrText>
      </w:r>
      <w:r>
        <w:fldChar w:fldCharType="separate"/>
      </w:r>
      <w:r>
        <w:rPr>
          <w:color w:val="0000FF"/>
          <w:sz w:val="20"/>
        </w:rPr>
        <w:t>индикаторов</w:t>
      </w:r>
      <w:r>
        <w:rPr>
          <w:color w:val="0000FF"/>
          <w:sz w:val="20"/>
        </w:rPr>
        <w:fldChar w:fldCharType="end"/>
      </w:r>
      <w:r>
        <w:rPr>
          <w:sz w:val="20"/>
        </w:rPr>
        <w:t xml:space="preserve"> (показателей) реализации Стратегии.</w:t>
      </w:r>
    </w:p>
    <w:p w14:paraId="576C4EA8">
      <w:pPr>
        <w:pStyle w:val="4"/>
        <w:spacing w:before="200"/>
        <w:ind w:firstLine="540"/>
        <w:jc w:val="both"/>
      </w:pPr>
      <w:r>
        <w:rPr>
          <w:sz w:val="20"/>
        </w:rPr>
        <w:t>Данные мониторинга реализации Стратегии являются основой для принятия управленческих решений по корректировке дорожной карты, а также по внесению в Правительство Российской Федерации предложений о корректировке Стратегии.</w:t>
      </w:r>
    </w:p>
    <w:p w14:paraId="13DF6D09">
      <w:pPr>
        <w:pStyle w:val="4"/>
        <w:spacing w:before="200"/>
        <w:ind w:firstLine="540"/>
        <w:jc w:val="both"/>
      </w:pPr>
      <w:r>
        <w:rPr>
          <w:sz w:val="20"/>
        </w:rPr>
        <w:t>Комиссия обеспечивает представление в Правительство Российской Федерации ежегодного аналитического доклада о ходе реализации в соответствующем году Стратегии.</w:t>
      </w:r>
    </w:p>
    <w:p w14:paraId="163FC4A0">
      <w:pPr>
        <w:pStyle w:val="4"/>
        <w:spacing w:before="200"/>
        <w:ind w:firstLine="540"/>
        <w:jc w:val="both"/>
      </w:pPr>
      <w:r>
        <w:rPr>
          <w:sz w:val="20"/>
        </w:rPr>
        <w:t>Участники реализации Стратегии представляют в Комиссию информацию о достигнутых в ходе реализации Стратегии результатах по форме и в сроки, которые утверждаются комиссией.</w:t>
      </w:r>
    </w:p>
    <w:p w14:paraId="12452E8D">
      <w:pPr>
        <w:pStyle w:val="4"/>
        <w:spacing w:before="200"/>
        <w:ind w:firstLine="540"/>
        <w:jc w:val="both"/>
      </w:pPr>
      <w:r>
        <w:rPr>
          <w:sz w:val="20"/>
        </w:rPr>
        <w:t>К основным рискам реализации Стратегии относятся:</w:t>
      </w:r>
    </w:p>
    <w:p w14:paraId="7123BFD4">
      <w:pPr>
        <w:pStyle w:val="4"/>
        <w:spacing w:before="200"/>
        <w:ind w:firstLine="540"/>
        <w:jc w:val="both"/>
      </w:pPr>
      <w:r>
        <w:rPr>
          <w:sz w:val="20"/>
        </w:rPr>
        <w:t>риски, связанные с изменением макроэкономической ситуации;</w:t>
      </w:r>
    </w:p>
    <w:p w14:paraId="2B674937">
      <w:pPr>
        <w:pStyle w:val="4"/>
        <w:spacing w:before="200"/>
        <w:ind w:firstLine="540"/>
        <w:jc w:val="both"/>
      </w:pPr>
      <w:r>
        <w:rPr>
          <w:sz w:val="20"/>
        </w:rPr>
        <w:t>риски, связанные с нормативной базой;</w:t>
      </w:r>
    </w:p>
    <w:p w14:paraId="6B2C1984">
      <w:pPr>
        <w:pStyle w:val="4"/>
        <w:spacing w:before="200"/>
        <w:ind w:firstLine="540"/>
        <w:jc w:val="both"/>
      </w:pPr>
      <w:r>
        <w:rPr>
          <w:sz w:val="20"/>
        </w:rPr>
        <w:t>риски, связанные с развитием российского финансового рынка;</w:t>
      </w:r>
    </w:p>
    <w:p w14:paraId="20618B30">
      <w:pPr>
        <w:pStyle w:val="4"/>
        <w:spacing w:before="200"/>
        <w:ind w:firstLine="540"/>
        <w:jc w:val="both"/>
      </w:pPr>
      <w:r>
        <w:rPr>
          <w:sz w:val="20"/>
        </w:rPr>
        <w:t>риски, связанные с опережающим технологическим развитием финансовых услуг;</w:t>
      </w:r>
    </w:p>
    <w:p w14:paraId="300C787B">
      <w:pPr>
        <w:pStyle w:val="4"/>
        <w:spacing w:before="200"/>
        <w:ind w:firstLine="540"/>
        <w:jc w:val="both"/>
      </w:pPr>
      <w:r>
        <w:rPr>
          <w:sz w:val="20"/>
        </w:rPr>
        <w:t>риски, связанные с недостаточным ресурсным обеспечением реализации мероприятий Стратегии;</w:t>
      </w:r>
    </w:p>
    <w:p w14:paraId="0EEDAD2C">
      <w:pPr>
        <w:pStyle w:val="4"/>
        <w:spacing w:before="200"/>
        <w:ind w:firstLine="540"/>
        <w:jc w:val="both"/>
      </w:pPr>
      <w:r>
        <w:rPr>
          <w:sz w:val="20"/>
        </w:rPr>
        <w:t>риски, связанные с работой системы управления реализацией Стратегии.</w:t>
      </w:r>
    </w:p>
    <w:p w14:paraId="5CC89DC8">
      <w:pPr>
        <w:pStyle w:val="4"/>
        <w:spacing w:before="200"/>
        <w:ind w:firstLine="540"/>
        <w:jc w:val="both"/>
      </w:pPr>
      <w:r>
        <w:rPr>
          <w:sz w:val="20"/>
        </w:rPr>
        <w:t>Комиссия на постоянной основе отслеживает и оценивает уровень рисков реализации Стратегии и принимает необходимые меры по управлению рисками.</w:t>
      </w:r>
    </w:p>
    <w:p w14:paraId="3A671FF0">
      <w:pPr>
        <w:pStyle w:val="4"/>
        <w:jc w:val="both"/>
      </w:pPr>
    </w:p>
    <w:p w14:paraId="49899FFE">
      <w:pPr>
        <w:pStyle w:val="4"/>
        <w:jc w:val="both"/>
      </w:pPr>
    </w:p>
    <w:p w14:paraId="01F4D1C6">
      <w:pPr>
        <w:pStyle w:val="4"/>
        <w:jc w:val="both"/>
      </w:pPr>
    </w:p>
    <w:p w14:paraId="0F066ACA">
      <w:pPr>
        <w:pStyle w:val="4"/>
        <w:jc w:val="both"/>
      </w:pPr>
    </w:p>
    <w:p w14:paraId="3F7D683C">
      <w:pPr>
        <w:pStyle w:val="4"/>
        <w:jc w:val="both"/>
      </w:pPr>
    </w:p>
    <w:p w14:paraId="1129D47E">
      <w:pPr>
        <w:pStyle w:val="4"/>
        <w:jc w:val="right"/>
        <w:outlineLvl w:val="1"/>
      </w:pPr>
      <w:r>
        <w:rPr>
          <w:sz w:val="20"/>
        </w:rPr>
        <w:t>Приложение</w:t>
      </w:r>
    </w:p>
    <w:p w14:paraId="7FC91B41">
      <w:pPr>
        <w:pStyle w:val="4"/>
        <w:jc w:val="right"/>
      </w:pPr>
      <w:r>
        <w:rPr>
          <w:sz w:val="20"/>
        </w:rPr>
        <w:t>к Стратегии повышения финансовой</w:t>
      </w:r>
    </w:p>
    <w:p w14:paraId="2A0B88AA">
      <w:pPr>
        <w:pStyle w:val="4"/>
        <w:jc w:val="right"/>
      </w:pPr>
      <w:r>
        <w:rPr>
          <w:sz w:val="20"/>
        </w:rPr>
        <w:t>грамотности и формирования финансовой</w:t>
      </w:r>
    </w:p>
    <w:p w14:paraId="1811FD28">
      <w:pPr>
        <w:pStyle w:val="4"/>
        <w:jc w:val="right"/>
      </w:pPr>
      <w:r>
        <w:rPr>
          <w:sz w:val="20"/>
        </w:rPr>
        <w:t>культуры до 2030 года</w:t>
      </w:r>
    </w:p>
    <w:p w14:paraId="4BBAEA59">
      <w:pPr>
        <w:pStyle w:val="4"/>
        <w:jc w:val="both"/>
      </w:pPr>
    </w:p>
    <w:p w14:paraId="636ED0A2">
      <w:pPr>
        <w:pStyle w:val="6"/>
        <w:jc w:val="center"/>
      </w:pPr>
      <w:bookmarkStart w:id="1" w:name="P303"/>
      <w:bookmarkEnd w:id="1"/>
      <w:r>
        <w:rPr>
          <w:sz w:val="20"/>
        </w:rPr>
        <w:t>ИНДИКАТОРЫ (ПОКАЗАТЕЛИ)</w:t>
      </w:r>
    </w:p>
    <w:p w14:paraId="21F8F75D">
      <w:pPr>
        <w:pStyle w:val="6"/>
        <w:jc w:val="center"/>
      </w:pPr>
      <w:r>
        <w:rPr>
          <w:sz w:val="20"/>
        </w:rPr>
        <w:t>РЕАЛИЗАЦИИ СТРАТЕГИИ ПОВЫШЕНИЯ ФИНАНСОВОЙ ГРАМОТНОСТИ</w:t>
      </w:r>
    </w:p>
    <w:p w14:paraId="59D086A2">
      <w:pPr>
        <w:pStyle w:val="6"/>
        <w:jc w:val="center"/>
      </w:pPr>
      <w:r>
        <w:rPr>
          <w:sz w:val="20"/>
        </w:rPr>
        <w:t>И ФОРМИРОВАНИЯ ФИНАНСОВОЙ КУЛЬТУРЫ ДО 2030 ГОДА</w:t>
      </w:r>
    </w:p>
    <w:p w14:paraId="31BC7835">
      <w:pPr>
        <w:pStyle w:val="4"/>
        <w:jc w:val="both"/>
      </w:pPr>
    </w:p>
    <w:p w14:paraId="7807E0B8">
      <w:pPr>
        <w:sectPr>
          <w:pgSz w:w="11906" w:h="16838"/>
          <w:pgMar w:top="1440" w:right="1800" w:bottom="1440" w:left="1800" w:header="720" w:footer="720" w:gutter="0"/>
          <w:cols w:space="720" w:num="1"/>
          <w:docGrid w:linePitch="360" w:charSpace="0"/>
        </w:sectPr>
      </w:pP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4627"/>
        <w:gridCol w:w="2214"/>
        <w:gridCol w:w="2214"/>
      </w:tblGrid>
      <w:tr w14:paraId="7A03DC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627" w:type="dxa"/>
            <w:tcBorders>
              <w:top w:val="single" w:color="auto" w:sz="4" w:space="0"/>
              <w:left w:val="nil"/>
              <w:bottom w:val="single" w:color="auto" w:sz="4" w:space="0"/>
            </w:tcBorders>
          </w:tcPr>
          <w:p w14:paraId="12E81BA0">
            <w:pPr>
              <w:pStyle w:val="4"/>
              <w:jc w:val="center"/>
            </w:pPr>
            <w:r>
              <w:rPr>
                <w:sz w:val="20"/>
              </w:rPr>
              <w:t>Наименование индикатора (показателя)</w:t>
            </w:r>
          </w:p>
        </w:tc>
        <w:tc>
          <w:tcPr>
            <w:tcW w:w="2214" w:type="dxa"/>
            <w:tcBorders>
              <w:top w:val="single" w:color="auto" w:sz="4" w:space="0"/>
              <w:bottom w:val="single" w:color="auto" w:sz="4" w:space="0"/>
            </w:tcBorders>
          </w:tcPr>
          <w:p w14:paraId="3F858555">
            <w:pPr>
              <w:pStyle w:val="4"/>
              <w:jc w:val="center"/>
            </w:pPr>
            <w:r>
              <w:rPr>
                <w:sz w:val="20"/>
              </w:rPr>
              <w:t>Базовое значение (2023 год)</w:t>
            </w:r>
          </w:p>
        </w:tc>
        <w:tc>
          <w:tcPr>
            <w:tcW w:w="2214" w:type="dxa"/>
            <w:tcBorders>
              <w:top w:val="single" w:color="auto" w:sz="4" w:space="0"/>
              <w:bottom w:val="single" w:color="auto" w:sz="4" w:space="0"/>
              <w:right w:val="nil"/>
            </w:tcBorders>
          </w:tcPr>
          <w:p w14:paraId="7F1E3364">
            <w:pPr>
              <w:pStyle w:val="4"/>
              <w:jc w:val="center"/>
            </w:pPr>
            <w:r>
              <w:rPr>
                <w:sz w:val="20"/>
              </w:rPr>
              <w:t>Прогнозный диапазон (2030 год)</w:t>
            </w:r>
          </w:p>
        </w:tc>
      </w:tr>
      <w:tr w14:paraId="44A6455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27" w:type="dxa"/>
            <w:tcBorders>
              <w:top w:val="single" w:color="auto" w:sz="4" w:space="0"/>
              <w:left w:val="nil"/>
              <w:bottom w:val="nil"/>
              <w:right w:val="nil"/>
            </w:tcBorders>
          </w:tcPr>
          <w:p w14:paraId="78757CB6">
            <w:pPr>
              <w:pStyle w:val="4"/>
            </w:pPr>
            <w:r>
              <w:rPr>
                <w:sz w:val="20"/>
              </w:rPr>
              <w:t>Индекс уровня финансовой грамотности населения Российской Федерации, опрос</w:t>
            </w:r>
          </w:p>
        </w:tc>
        <w:tc>
          <w:tcPr>
            <w:tcW w:w="2214" w:type="dxa"/>
            <w:tcBorders>
              <w:top w:val="single" w:color="auto" w:sz="4" w:space="0"/>
              <w:left w:val="nil"/>
              <w:bottom w:val="nil"/>
              <w:right w:val="nil"/>
            </w:tcBorders>
          </w:tcPr>
          <w:p w14:paraId="4B37E3E2">
            <w:pPr>
              <w:pStyle w:val="4"/>
              <w:jc w:val="center"/>
            </w:pPr>
            <w:r>
              <w:rPr>
                <w:sz w:val="20"/>
              </w:rPr>
              <w:t xml:space="preserve">54 балла </w:t>
            </w:r>
            <w:r>
              <w:fldChar w:fldCharType="begin"/>
            </w:r>
            <w:r>
              <w:instrText xml:space="preserve"> HYPERLINK \l "P339" \h </w:instrText>
            </w:r>
            <w:r>
              <w:fldChar w:fldCharType="separate"/>
            </w:r>
            <w:r>
              <w:rPr>
                <w:color w:val="0000FF"/>
                <w:sz w:val="20"/>
              </w:rPr>
              <w:t>&lt;1&gt;</w:t>
            </w:r>
            <w:r>
              <w:rPr>
                <w:color w:val="0000FF"/>
                <w:sz w:val="20"/>
              </w:rPr>
              <w:fldChar w:fldCharType="end"/>
            </w:r>
          </w:p>
        </w:tc>
        <w:tc>
          <w:tcPr>
            <w:tcW w:w="2214" w:type="dxa"/>
            <w:tcBorders>
              <w:top w:val="single" w:color="auto" w:sz="4" w:space="0"/>
              <w:left w:val="nil"/>
              <w:bottom w:val="nil"/>
              <w:right w:val="nil"/>
            </w:tcBorders>
          </w:tcPr>
          <w:p w14:paraId="4DE600A2">
            <w:pPr>
              <w:pStyle w:val="4"/>
              <w:jc w:val="center"/>
            </w:pPr>
            <w:r>
              <w:rPr>
                <w:sz w:val="20"/>
              </w:rPr>
              <w:t>56 - 62 балла</w:t>
            </w:r>
          </w:p>
        </w:tc>
      </w:tr>
      <w:tr w14:paraId="4F38A0D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27" w:type="dxa"/>
            <w:tcBorders>
              <w:top w:val="nil"/>
              <w:left w:val="nil"/>
              <w:bottom w:val="nil"/>
              <w:right w:val="nil"/>
            </w:tcBorders>
          </w:tcPr>
          <w:p w14:paraId="0AFB221A">
            <w:pPr>
              <w:pStyle w:val="4"/>
            </w:pPr>
            <w:r>
              <w:rPr>
                <w:sz w:val="20"/>
              </w:rPr>
              <w:t>Уровень внедрения финансовой грамотности в систему образования на уровне субъектов Российской Федерации, процентов:</w:t>
            </w:r>
          </w:p>
        </w:tc>
        <w:tc>
          <w:tcPr>
            <w:tcW w:w="2214" w:type="dxa"/>
            <w:tcBorders>
              <w:top w:val="nil"/>
              <w:left w:val="nil"/>
              <w:bottom w:val="nil"/>
              <w:right w:val="nil"/>
            </w:tcBorders>
          </w:tcPr>
          <w:p w14:paraId="295757E6">
            <w:pPr>
              <w:pStyle w:val="4"/>
              <w:jc w:val="center"/>
            </w:pPr>
            <w:r>
              <w:rPr>
                <w:sz w:val="20"/>
              </w:rPr>
              <w:t>38 процентов</w:t>
            </w:r>
          </w:p>
        </w:tc>
        <w:tc>
          <w:tcPr>
            <w:tcW w:w="2214" w:type="dxa"/>
            <w:tcBorders>
              <w:top w:val="nil"/>
              <w:left w:val="nil"/>
              <w:bottom w:val="nil"/>
              <w:right w:val="nil"/>
            </w:tcBorders>
          </w:tcPr>
          <w:p w14:paraId="338BE88B">
            <w:pPr>
              <w:pStyle w:val="4"/>
              <w:jc w:val="center"/>
            </w:pPr>
            <w:r>
              <w:rPr>
                <w:sz w:val="20"/>
              </w:rPr>
              <w:t>60 процентов</w:t>
            </w:r>
          </w:p>
        </w:tc>
      </w:tr>
      <w:tr w14:paraId="01D6006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27" w:type="dxa"/>
            <w:tcBorders>
              <w:top w:val="nil"/>
              <w:left w:val="nil"/>
              <w:bottom w:val="nil"/>
              <w:right w:val="nil"/>
            </w:tcBorders>
          </w:tcPr>
          <w:p w14:paraId="6ED9B08B">
            <w:pPr>
              <w:pStyle w:val="4"/>
            </w:pPr>
            <w:r>
              <w:rPr>
                <w:sz w:val="20"/>
              </w:rPr>
              <w:t xml:space="preserve">отношение количества обучающихся общеобразовательных организаций и профессиональных образовательных организаций, охваченных образовательными программами по финансовой грамотности, к общему количеству обучающихся общеобразовательных организаций и профессиональных образовательных организаций </w:t>
            </w:r>
            <w:r>
              <w:fldChar w:fldCharType="begin"/>
            </w:r>
            <w:r>
              <w:instrText xml:space="preserve"> HYPERLINK \l "P340" \h </w:instrText>
            </w:r>
            <w:r>
              <w:fldChar w:fldCharType="separate"/>
            </w:r>
            <w:r>
              <w:rPr>
                <w:color w:val="0000FF"/>
                <w:sz w:val="20"/>
              </w:rPr>
              <w:t>&lt;2&gt;</w:t>
            </w:r>
            <w:r>
              <w:rPr>
                <w:color w:val="0000FF"/>
                <w:sz w:val="20"/>
              </w:rPr>
              <w:fldChar w:fldCharType="end"/>
            </w:r>
            <w:r>
              <w:rPr>
                <w:sz w:val="20"/>
              </w:rPr>
              <w:t>, процентов;</w:t>
            </w:r>
          </w:p>
        </w:tc>
        <w:tc>
          <w:tcPr>
            <w:tcW w:w="2214" w:type="dxa"/>
            <w:tcBorders>
              <w:top w:val="nil"/>
              <w:left w:val="nil"/>
              <w:bottom w:val="nil"/>
              <w:right w:val="nil"/>
            </w:tcBorders>
          </w:tcPr>
          <w:p w14:paraId="7F544FCB">
            <w:pPr>
              <w:pStyle w:val="4"/>
              <w:jc w:val="center"/>
            </w:pPr>
            <w:r>
              <w:rPr>
                <w:sz w:val="20"/>
              </w:rPr>
              <w:t>67 процентов</w:t>
            </w:r>
          </w:p>
        </w:tc>
        <w:tc>
          <w:tcPr>
            <w:tcW w:w="2214" w:type="dxa"/>
            <w:tcBorders>
              <w:top w:val="nil"/>
              <w:left w:val="nil"/>
              <w:bottom w:val="nil"/>
              <w:right w:val="nil"/>
            </w:tcBorders>
          </w:tcPr>
          <w:p w14:paraId="38119DED">
            <w:pPr>
              <w:pStyle w:val="4"/>
              <w:jc w:val="center"/>
            </w:pPr>
            <w:r>
              <w:rPr>
                <w:sz w:val="20"/>
              </w:rPr>
              <w:t>100 процентов</w:t>
            </w:r>
          </w:p>
        </w:tc>
      </w:tr>
      <w:tr w14:paraId="28F5A33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27" w:type="dxa"/>
            <w:tcBorders>
              <w:top w:val="nil"/>
              <w:left w:val="nil"/>
              <w:bottom w:val="nil"/>
              <w:right w:val="nil"/>
            </w:tcBorders>
          </w:tcPr>
          <w:p w14:paraId="7FA0925B">
            <w:pPr>
              <w:pStyle w:val="4"/>
            </w:pPr>
            <w:r>
              <w:rPr>
                <w:sz w:val="20"/>
              </w:rPr>
              <w:t>отношение количества педагогических работников общеобразовательных организаций и профессиональных образовательных организаций, прошедших повышение квалификации и (или) профессиональную переподготовку по образовательным программам, включающим элементы финансовой грамотности, к общему количеству педагогических работников общеобразовательных организаций и профессиональных образовательных организаций, процентов</w:t>
            </w:r>
          </w:p>
        </w:tc>
        <w:tc>
          <w:tcPr>
            <w:tcW w:w="2214" w:type="dxa"/>
            <w:tcBorders>
              <w:top w:val="nil"/>
              <w:left w:val="nil"/>
              <w:bottom w:val="nil"/>
              <w:right w:val="nil"/>
            </w:tcBorders>
          </w:tcPr>
          <w:p w14:paraId="4D07683B">
            <w:pPr>
              <w:pStyle w:val="4"/>
              <w:jc w:val="center"/>
            </w:pPr>
            <w:r>
              <w:rPr>
                <w:sz w:val="20"/>
              </w:rPr>
              <w:t>9 процентов</w:t>
            </w:r>
          </w:p>
        </w:tc>
        <w:tc>
          <w:tcPr>
            <w:tcW w:w="2214" w:type="dxa"/>
            <w:tcBorders>
              <w:top w:val="nil"/>
              <w:left w:val="nil"/>
              <w:bottom w:val="nil"/>
              <w:right w:val="nil"/>
            </w:tcBorders>
          </w:tcPr>
          <w:p w14:paraId="240511A4">
            <w:pPr>
              <w:pStyle w:val="4"/>
              <w:jc w:val="center"/>
            </w:pPr>
            <w:r>
              <w:rPr>
                <w:sz w:val="20"/>
              </w:rPr>
              <w:t>20 процентов</w:t>
            </w:r>
          </w:p>
        </w:tc>
      </w:tr>
      <w:tr w14:paraId="55F6C33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27" w:type="dxa"/>
            <w:tcBorders>
              <w:top w:val="nil"/>
              <w:left w:val="nil"/>
              <w:bottom w:val="nil"/>
              <w:right w:val="nil"/>
            </w:tcBorders>
          </w:tcPr>
          <w:p w14:paraId="4DE67B93">
            <w:pPr>
              <w:pStyle w:val="4"/>
            </w:pPr>
            <w:r>
              <w:rPr>
                <w:sz w:val="20"/>
              </w:rPr>
              <w:t>Уровень инфраструктурного развития субъектов Российской Федерации, способствующего повышению финансовой грамотности в субъектах Российской Федерации, процентов:</w:t>
            </w:r>
          </w:p>
        </w:tc>
        <w:tc>
          <w:tcPr>
            <w:tcW w:w="2214" w:type="dxa"/>
            <w:tcBorders>
              <w:top w:val="nil"/>
              <w:left w:val="nil"/>
              <w:bottom w:val="nil"/>
              <w:right w:val="nil"/>
            </w:tcBorders>
          </w:tcPr>
          <w:p w14:paraId="56A43184">
            <w:pPr>
              <w:pStyle w:val="4"/>
              <w:jc w:val="center"/>
            </w:pPr>
            <w:r>
              <w:rPr>
                <w:sz w:val="20"/>
              </w:rPr>
              <w:t>75 процентов</w:t>
            </w:r>
          </w:p>
        </w:tc>
        <w:tc>
          <w:tcPr>
            <w:tcW w:w="2214" w:type="dxa"/>
            <w:tcBorders>
              <w:top w:val="nil"/>
              <w:left w:val="nil"/>
              <w:bottom w:val="nil"/>
              <w:right w:val="nil"/>
            </w:tcBorders>
          </w:tcPr>
          <w:p w14:paraId="6D88F2A3">
            <w:pPr>
              <w:pStyle w:val="4"/>
              <w:jc w:val="center"/>
            </w:pPr>
            <w:r>
              <w:rPr>
                <w:sz w:val="20"/>
              </w:rPr>
              <w:t>100 процентов</w:t>
            </w:r>
          </w:p>
        </w:tc>
      </w:tr>
      <w:tr w14:paraId="0655217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27" w:type="dxa"/>
            <w:tcBorders>
              <w:top w:val="nil"/>
              <w:left w:val="nil"/>
              <w:bottom w:val="nil"/>
              <w:right w:val="nil"/>
            </w:tcBorders>
          </w:tcPr>
          <w:p w14:paraId="54EC703D">
            <w:pPr>
              <w:pStyle w:val="4"/>
            </w:pPr>
            <w:r>
              <w:rPr>
                <w:sz w:val="20"/>
              </w:rPr>
              <w:t>отношение количества субъектов Российской Федерации, имеющих региональный центр финансовой грамотности, к общему количеству субъектов Российской Федерации, процентов;</w:t>
            </w:r>
          </w:p>
        </w:tc>
        <w:tc>
          <w:tcPr>
            <w:tcW w:w="2214" w:type="dxa"/>
            <w:tcBorders>
              <w:top w:val="nil"/>
              <w:left w:val="nil"/>
              <w:bottom w:val="nil"/>
              <w:right w:val="nil"/>
            </w:tcBorders>
          </w:tcPr>
          <w:p w14:paraId="03F6E2E5">
            <w:pPr>
              <w:pStyle w:val="4"/>
              <w:jc w:val="center"/>
            </w:pPr>
            <w:r>
              <w:rPr>
                <w:sz w:val="20"/>
              </w:rPr>
              <w:t>62 процента</w:t>
            </w:r>
          </w:p>
        </w:tc>
        <w:tc>
          <w:tcPr>
            <w:tcW w:w="2214" w:type="dxa"/>
            <w:tcBorders>
              <w:top w:val="nil"/>
              <w:left w:val="nil"/>
              <w:bottom w:val="nil"/>
              <w:right w:val="nil"/>
            </w:tcBorders>
          </w:tcPr>
          <w:p w14:paraId="44062845">
            <w:pPr>
              <w:pStyle w:val="4"/>
              <w:jc w:val="center"/>
            </w:pPr>
            <w:r>
              <w:rPr>
                <w:sz w:val="20"/>
              </w:rPr>
              <w:t>100 процентов</w:t>
            </w:r>
          </w:p>
        </w:tc>
      </w:tr>
      <w:tr w14:paraId="5593FC5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27" w:type="dxa"/>
            <w:tcBorders>
              <w:top w:val="nil"/>
              <w:left w:val="nil"/>
              <w:bottom w:val="nil"/>
              <w:right w:val="nil"/>
            </w:tcBorders>
          </w:tcPr>
          <w:p w14:paraId="00BBDB96">
            <w:pPr>
              <w:pStyle w:val="4"/>
            </w:pPr>
            <w:r>
              <w:rPr>
                <w:sz w:val="20"/>
              </w:rPr>
              <w:t>отношение количества субъектов Российской Федерации, имеющих информационный ресурс, способствующий повышению финансовой грамотности, к общему количеству субъектов Российской Федерации, процентов;</w:t>
            </w:r>
          </w:p>
        </w:tc>
        <w:tc>
          <w:tcPr>
            <w:tcW w:w="2214" w:type="dxa"/>
            <w:tcBorders>
              <w:top w:val="nil"/>
              <w:left w:val="nil"/>
              <w:bottom w:val="nil"/>
              <w:right w:val="nil"/>
            </w:tcBorders>
          </w:tcPr>
          <w:p w14:paraId="6D76DEBC">
            <w:pPr>
              <w:pStyle w:val="4"/>
              <w:jc w:val="center"/>
            </w:pPr>
            <w:r>
              <w:rPr>
                <w:sz w:val="20"/>
              </w:rPr>
              <w:t>73 процента</w:t>
            </w:r>
          </w:p>
        </w:tc>
        <w:tc>
          <w:tcPr>
            <w:tcW w:w="2214" w:type="dxa"/>
            <w:tcBorders>
              <w:top w:val="nil"/>
              <w:left w:val="nil"/>
              <w:bottom w:val="nil"/>
              <w:right w:val="nil"/>
            </w:tcBorders>
          </w:tcPr>
          <w:p w14:paraId="32DBB81B">
            <w:pPr>
              <w:pStyle w:val="4"/>
              <w:jc w:val="center"/>
            </w:pPr>
            <w:r>
              <w:rPr>
                <w:sz w:val="20"/>
              </w:rPr>
              <w:t>100 процентов</w:t>
            </w:r>
          </w:p>
        </w:tc>
      </w:tr>
      <w:tr w14:paraId="3ADA36A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27" w:type="dxa"/>
            <w:tcBorders>
              <w:top w:val="nil"/>
              <w:left w:val="nil"/>
              <w:bottom w:val="nil"/>
              <w:right w:val="nil"/>
            </w:tcBorders>
          </w:tcPr>
          <w:p w14:paraId="309B914A">
            <w:pPr>
              <w:pStyle w:val="4"/>
            </w:pPr>
            <w:r>
              <w:rPr>
                <w:sz w:val="20"/>
              </w:rPr>
              <w:t>отношение количества субъектов Российской Федерации, реализующих практики инициативного бюджетирования, иные практики, к общему количеству субъектов Российской Федерации, процентов</w:t>
            </w:r>
          </w:p>
        </w:tc>
        <w:tc>
          <w:tcPr>
            <w:tcW w:w="2214" w:type="dxa"/>
            <w:tcBorders>
              <w:top w:val="nil"/>
              <w:left w:val="nil"/>
              <w:bottom w:val="nil"/>
              <w:right w:val="nil"/>
            </w:tcBorders>
          </w:tcPr>
          <w:p w14:paraId="728C11FE">
            <w:pPr>
              <w:pStyle w:val="4"/>
              <w:jc w:val="center"/>
            </w:pPr>
            <w:r>
              <w:rPr>
                <w:sz w:val="20"/>
              </w:rPr>
              <w:t>90 процентов</w:t>
            </w:r>
          </w:p>
        </w:tc>
        <w:tc>
          <w:tcPr>
            <w:tcW w:w="2214" w:type="dxa"/>
            <w:tcBorders>
              <w:top w:val="nil"/>
              <w:left w:val="nil"/>
              <w:bottom w:val="nil"/>
              <w:right w:val="nil"/>
            </w:tcBorders>
          </w:tcPr>
          <w:p w14:paraId="1A6E6A50">
            <w:pPr>
              <w:pStyle w:val="4"/>
              <w:jc w:val="center"/>
            </w:pPr>
            <w:r>
              <w:rPr>
                <w:sz w:val="20"/>
              </w:rPr>
              <w:t>100 процентов</w:t>
            </w:r>
          </w:p>
        </w:tc>
      </w:tr>
      <w:tr w14:paraId="135355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627" w:type="dxa"/>
            <w:tcBorders>
              <w:top w:val="nil"/>
              <w:left w:val="nil"/>
              <w:bottom w:val="single" w:color="auto" w:sz="4" w:space="0"/>
              <w:right w:val="nil"/>
            </w:tcBorders>
          </w:tcPr>
          <w:p w14:paraId="24B55D2F">
            <w:pPr>
              <w:pStyle w:val="4"/>
            </w:pPr>
            <w:r>
              <w:rPr>
                <w:sz w:val="20"/>
              </w:rPr>
              <w:t>Индекс развития финансовой культуры</w:t>
            </w:r>
          </w:p>
        </w:tc>
        <w:tc>
          <w:tcPr>
            <w:tcW w:w="2214" w:type="dxa"/>
            <w:tcBorders>
              <w:top w:val="nil"/>
              <w:left w:val="nil"/>
              <w:bottom w:val="single" w:color="auto" w:sz="4" w:space="0"/>
              <w:right w:val="nil"/>
            </w:tcBorders>
          </w:tcPr>
          <w:p w14:paraId="0D52BFCB">
            <w:pPr>
              <w:pStyle w:val="4"/>
              <w:jc w:val="center"/>
            </w:pPr>
            <w:r>
              <w:rPr>
                <w:sz w:val="20"/>
              </w:rPr>
              <w:t>значение индикатора не рассчитывалось, будет определено по результатам замеров в 2024 году после разработки методики расчета индикатора</w:t>
            </w:r>
          </w:p>
        </w:tc>
        <w:tc>
          <w:tcPr>
            <w:tcW w:w="2214" w:type="dxa"/>
            <w:tcBorders>
              <w:top w:val="nil"/>
              <w:left w:val="nil"/>
              <w:bottom w:val="single" w:color="auto" w:sz="4" w:space="0"/>
              <w:right w:val="nil"/>
            </w:tcBorders>
          </w:tcPr>
          <w:p w14:paraId="1B57F11B">
            <w:pPr>
              <w:pStyle w:val="4"/>
              <w:jc w:val="center"/>
            </w:pPr>
            <w:r>
              <w:rPr>
                <w:sz w:val="20"/>
              </w:rPr>
              <w:t>будет определен после проведения замеров в 2024 году</w:t>
            </w:r>
          </w:p>
        </w:tc>
      </w:tr>
    </w:tbl>
    <w:p w14:paraId="6C35B9B1">
      <w:pPr>
        <w:pStyle w:val="4"/>
        <w:jc w:val="both"/>
      </w:pPr>
    </w:p>
    <w:p w14:paraId="6FFD0B3D">
      <w:pPr>
        <w:pStyle w:val="4"/>
        <w:ind w:firstLine="540"/>
        <w:jc w:val="both"/>
      </w:pPr>
      <w:r>
        <w:rPr>
          <w:sz w:val="20"/>
        </w:rPr>
        <w:t>--------------------------------</w:t>
      </w:r>
    </w:p>
    <w:p w14:paraId="3416DF38">
      <w:pPr>
        <w:pStyle w:val="4"/>
        <w:spacing w:before="200"/>
        <w:ind w:firstLine="540"/>
        <w:jc w:val="both"/>
      </w:pPr>
      <w:bookmarkStart w:id="2" w:name="P339"/>
      <w:bookmarkEnd w:id="2"/>
      <w:r>
        <w:rPr>
          <w:sz w:val="20"/>
        </w:rPr>
        <w:t>&lt;1&gt; Данные по результатам исследования, проведенного в 2022 году по заказу Банка России.</w:t>
      </w:r>
    </w:p>
    <w:p w14:paraId="02B98E31">
      <w:pPr>
        <w:pStyle w:val="4"/>
        <w:spacing w:before="200"/>
        <w:ind w:firstLine="540"/>
        <w:jc w:val="both"/>
      </w:pPr>
      <w:bookmarkStart w:id="3" w:name="P340"/>
      <w:bookmarkEnd w:id="3"/>
      <w:r>
        <w:rPr>
          <w:sz w:val="20"/>
        </w:rPr>
        <w:t xml:space="preserve">&lt;2&gt; Рассчитывается на основании данных, представленных по соответствующим </w:t>
      </w:r>
      <w:r>
        <w:fldChar w:fldCharType="begin"/>
      </w:r>
      <w:r>
        <w:instrText xml:space="preserve"> HYPERLINK "https://login.consultant.ru/link/?req=doc&amp;base=LAW&amp;n=486274&amp;dst=100165" \h </w:instrText>
      </w:r>
      <w:r>
        <w:fldChar w:fldCharType="separate"/>
      </w:r>
      <w:r>
        <w:rPr>
          <w:color w:val="0000FF"/>
          <w:sz w:val="20"/>
        </w:rPr>
        <w:t>индикаторам</w:t>
      </w:r>
      <w:r>
        <w:rPr>
          <w:color w:val="0000FF"/>
          <w:sz w:val="20"/>
        </w:rPr>
        <w:fldChar w:fldCharType="end"/>
      </w:r>
      <w:r>
        <w:rPr>
          <w:sz w:val="20"/>
        </w:rPr>
        <w:t xml:space="preserve"> качества управления региональными финансами в субъектах Российской Федерации, включенным в приказ Минфина России от 3 декабря 2010 г. N 552 "О порядке осуществления мониторинга и оценки качества управления региональными финансами".</w:t>
      </w:r>
    </w:p>
    <w:p w14:paraId="641510B6">
      <w:pPr>
        <w:pStyle w:val="4"/>
        <w:jc w:val="both"/>
      </w:pPr>
    </w:p>
    <w:p w14:paraId="20AFDD37">
      <w:pPr>
        <w:pStyle w:val="4"/>
        <w:jc w:val="both"/>
      </w:pPr>
    </w:p>
    <w:p w14:paraId="726220BE">
      <w:pPr>
        <w:pStyle w:val="4"/>
        <w:pBdr>
          <w:bottom w:val="single" w:color="auto" w:sz="6" w:space="0"/>
        </w:pBdr>
        <w:spacing w:before="100" w:after="100"/>
        <w:jc w:val="both"/>
        <w:rPr>
          <w:sz w:val="2"/>
          <w:szCs w:val="2"/>
        </w:rPr>
      </w:pPr>
    </w:p>
    <w:p w14:paraId="52B3418E">
      <w:bookmarkStart w:id="4" w:name="_GoBack"/>
      <w:bookmarkEnd w:id="4"/>
    </w:p>
    <w:sectPr>
      <w:pgSz w:w="16838" w:h="11905" w:orient="landscape"/>
      <w:pgMar w:top="1800" w:right="1440" w:bottom="1800" w:left="1440" w:header="0" w:footer="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D3EEC"/>
    <w:rsid w:val="47AD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Calibri" w:hAnsi="Calibri" w:cs="Calibri"/>
      <w:sz w:val="20"/>
      <w:szCs w:val="22"/>
    </w:rPr>
  </w:style>
  <w:style w:type="paragraph" w:customStyle="1" w:styleId="5">
    <w:name w:val="ConsPlusNonforma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6">
    <w:name w:val="ConsPlusTitle"/>
    <w:qFormat/>
    <w:uiPriority w:val="0"/>
    <w:pPr>
      <w:widowControl w:val="0"/>
      <w:autoSpaceDE w:val="0"/>
      <w:autoSpaceDN w:val="0"/>
      <w:spacing w:before="0" w:after="0" w:line="240" w:lineRule="auto"/>
    </w:pPr>
    <w:rPr>
      <w:rFonts w:ascii="Calibri" w:hAnsi="Calibri" w:cs="Calibri"/>
      <w:b/>
      <w:sz w:val="20"/>
      <w:szCs w:val="22"/>
    </w:rPr>
  </w:style>
  <w:style w:type="paragraph" w:customStyle="1" w:styleId="7">
    <w:name w:val="ConsPlusCell"/>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DocList"/>
    <w:qFormat/>
    <w:uiPriority w:val="0"/>
    <w:pPr>
      <w:widowControl w:val="0"/>
      <w:autoSpaceDE w:val="0"/>
      <w:autoSpaceDN w:val="0"/>
      <w:spacing w:before="0" w:after="0" w:line="240" w:lineRule="auto"/>
    </w:pPr>
    <w:rPr>
      <w:rFonts w:ascii="Calibri" w:hAnsi="Calibri" w:cs="Calibri"/>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sz w:val="26"/>
      <w:szCs w:val="22"/>
    </w:rPr>
  </w:style>
  <w:style w:type="paragraph" w:customStyle="1" w:styleId="11">
    <w:name w:val="ConsPlusTextList"/>
    <w:qFormat/>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2025-03-05T06:30:00Z</dcterms:created>
  <dc:creator>Приемная Белояр�</dc:creator>
  <cp:lastModifiedBy>Приемная Белояр�</cp:lastModifiedBy>
  <dcterms:modified xsi:type="dcterms:W3CDTF">2025-03-05T06:31:20Z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D8F4BB8FA11A44B496A46E7B55F84366_11</vt:lpwstr>
  </property>
</Properties>
</file>