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BF" w:rsidRDefault="00ED2FBF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FE6CC1" w:rsidRDefault="005D0A16">
      <w:pPr>
        <w:spacing w:line="276" w:lineRule="auto"/>
        <w:ind w:firstLine="709"/>
        <w:jc w:val="center"/>
        <w:rPr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Информация </w:t>
      </w:r>
    </w:p>
    <w:p w:rsidR="00FE6CC1" w:rsidRDefault="005D0A16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особенностях установления единых тарифов на услугу</w:t>
      </w:r>
    </w:p>
    <w:p w:rsidR="00FE6CC1" w:rsidRDefault="005D0A16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 обращению с твердыми коммунальными отходами на 2025 год</w:t>
      </w:r>
    </w:p>
    <w:p w:rsidR="00FE6CC1" w:rsidRDefault="00FE6CC1">
      <w:pPr>
        <w:spacing w:line="276" w:lineRule="auto"/>
        <w:ind w:firstLine="709"/>
        <w:jc w:val="center"/>
        <w:rPr>
          <w:sz w:val="26"/>
          <w:szCs w:val="26"/>
        </w:rPr>
      </w:pPr>
    </w:p>
    <w:p w:rsidR="00FE6CC1" w:rsidRDefault="005D0A16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предельных единых тарифов на услугу регионального оператора по обращению с твердыми коммунальными отходами (далее – ТКО; единый тариф) на территории Ханты-Мансийского автономного округа – Югры осуществляется Региональной службой по тарифам Ханты-Мансийского автономного округа – Югры (далее – РСТ Югры).</w:t>
      </w:r>
    </w:p>
    <w:p w:rsidR="00FE6CC1" w:rsidRDefault="005D0A16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Регулирование осуществляется в соответствии с требованиями:</w:t>
      </w:r>
    </w:p>
    <w:p w:rsidR="00FE6CC1" w:rsidRDefault="005D0A16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24.06.1998 № 89-ФЗ «Об отходах производства и потребления» (далее – Закон № 89-ФЗ);</w:t>
      </w:r>
    </w:p>
    <w:p w:rsidR="00FE6CC1" w:rsidRDefault="005D0A16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постановления Правительства Российской Федерации от 30.05.2016        № 484 «О ценообразовании в области обращения с твердыми коммунальными отходами»;</w:t>
      </w:r>
    </w:p>
    <w:p w:rsidR="00FE6CC1" w:rsidRDefault="005D0A16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приказа ФАС России от 21.11.2016 № 1638/16 «Об утверждении Методических указаний по расчету регулируемых тарифов в сфере обращения с твердыми коммунальными отходами».</w:t>
      </w:r>
    </w:p>
    <w:p w:rsidR="00FE6CC1" w:rsidRDefault="005D0A16">
      <w:pPr>
        <w:pStyle w:val="af5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требований выше указанных нормативных правовых актов приказом РСТ Югры от 12.12.2024 № 122-нп «О внесении изменений в некоторые приказы Региональной службы по тарифам Ханты-Мансийского автономного округа – Югры» (далее – приказ № 122) установлены единые тарифы на 2025 год по зонам деятельности регионального оператора Акционерное общество «Югра-Экология» (далее – АО «Югра-Экология»). </w:t>
      </w:r>
    </w:p>
    <w:p w:rsidR="00FE6CC1" w:rsidRDefault="005D0A16">
      <w:pPr>
        <w:pStyle w:val="af5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 этом в соответствии с п. 2 статьи 24.8 Закона № 89-ФЗ регулируемые виды деятельности в области обращения с ТКО могут осуществляться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ТКО, установленные органами исполнительной власти субъектов Российской Федерации, уполномоченными в области регулирования тарифов. </w:t>
      </w:r>
      <w:proofErr w:type="gramEnd"/>
    </w:p>
    <w:p w:rsidR="00FE6CC1" w:rsidRDefault="005D0A1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связи</w:t>
      </w:r>
      <w:proofErr w:type="gramEnd"/>
      <w:r>
        <w:rPr>
          <w:sz w:val="26"/>
          <w:szCs w:val="26"/>
        </w:rPr>
        <w:t xml:space="preserve"> с чем для населения, проживающего на территории муниципальных образований автономного округа, в целях соблюдения предельных (максимальных) индексов изменения размера вносимой гражданами платы за коммунальные услуги  на 2025 год, утвержденных </w:t>
      </w:r>
      <w:r>
        <w:rPr>
          <w:bCs/>
          <w:sz w:val="26"/>
          <w:szCs w:val="26"/>
        </w:rPr>
        <w:t>постановлением Губернатора Ханты-Мансийского автономного округа – Югры от 11.12.2023        № 185 (в ред. от 11.12.2024 № 135)</w:t>
      </w:r>
      <w:r>
        <w:rPr>
          <w:sz w:val="26"/>
          <w:szCs w:val="26"/>
        </w:rPr>
        <w:t xml:space="preserve">, единые тарифы по отношению к декабрю 2024 года с 01.01.2025 по 30.06.2025 будут применяться </w:t>
      </w:r>
      <w:r>
        <w:rPr>
          <w:sz w:val="26"/>
          <w:szCs w:val="26"/>
        </w:rPr>
        <w:lastRenderedPageBreak/>
        <w:t>без роста, с 01.07.2025 с ростом 9,0% в размере, ниже единых тарифов, установленных приказом          РСТ Югры № 122-нп.</w:t>
      </w:r>
    </w:p>
    <w:p w:rsidR="00FE6CC1" w:rsidRDefault="005D0A16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Единые тарифы для населения приняты приказом регионального оператора по обращению с ТКО АО «Югра-Экология» от 19.12.2024                     № 01-06-ЮЭ/201 «Об установлении цены для населения на 2025 год» (далее – приказ АО «Югра-Экология» № 01-06-ЮЭ/201) на основании п. 1 ст. 157.1 Жилищного кодекса Российской Федерации, п. 2 статьи 24.8 Закона № 89-ФЗ и приказа Департамента промышленности Ханты-Мансийского автономного округа – Югры от 28.02.2023 № 1-нп «</w:t>
      </w:r>
      <w:r>
        <w:rPr>
          <w:sz w:val="26"/>
          <w:szCs w:val="26"/>
          <w:lang w:bidi="ru-RU"/>
        </w:rPr>
        <w:t>Об</w:t>
      </w:r>
      <w:proofErr w:type="gramEnd"/>
      <w:r>
        <w:rPr>
          <w:sz w:val="26"/>
          <w:szCs w:val="26"/>
          <w:lang w:bidi="ru-RU"/>
        </w:rPr>
        <w:t xml:space="preserve"> </w:t>
      </w:r>
      <w:proofErr w:type="gramStart"/>
      <w:r>
        <w:rPr>
          <w:sz w:val="26"/>
          <w:szCs w:val="26"/>
          <w:lang w:bidi="ru-RU"/>
        </w:rPr>
        <w:t>утверждении порядков предоставления субсидий из бюджета Ханты-Мансийского автономного округа - Югры юридическим лицам, осуществляющим деятельность регионального оператора по обращению с твердыми коммунальными отходами, в целях возмещения недополученных доходов, связанных с предоставлением населению коммунальных услуг по обращению с твердыми коммунальными отходами</w:t>
      </w:r>
      <w:r>
        <w:rPr>
          <w:sz w:val="26"/>
          <w:szCs w:val="26"/>
        </w:rPr>
        <w:t>».</w:t>
      </w:r>
      <w:proofErr w:type="gramEnd"/>
    </w:p>
    <w:p w:rsidR="00FE6CC1" w:rsidRDefault="005D0A16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установленных единых тарифах отражена в протоколе заседания правления РСТ Югры от 12.12.2024 № 64, размещенном на официальном сайте (</w:t>
      </w:r>
      <w:hyperlink r:id="rId9" w:tooltip="http://www.rst.admhmao.ru" w:history="1">
        <w:r>
          <w:rPr>
            <w:rStyle w:val="a6"/>
            <w:color w:val="auto"/>
            <w:sz w:val="26"/>
            <w:szCs w:val="26"/>
          </w:rPr>
          <w:t>https://rst.admhmao.ru/</w:t>
        </w:r>
      </w:hyperlink>
      <w:r>
        <w:rPr>
          <w:sz w:val="26"/>
          <w:szCs w:val="26"/>
        </w:rPr>
        <w:t>) в разделе «Раскрытие информации», в подразделе «В области обращения с ТКО»/ «Протокол заседания правления».</w:t>
      </w:r>
    </w:p>
    <w:p w:rsidR="00FE6CC1" w:rsidRDefault="005D0A16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Размеры установленных экономически обоснованных единых тарифов и тарифов, которые будут </w:t>
      </w:r>
      <w:proofErr w:type="gramStart"/>
      <w:r>
        <w:rPr>
          <w:sz w:val="26"/>
          <w:szCs w:val="26"/>
        </w:rPr>
        <w:t>применятся</w:t>
      </w:r>
      <w:proofErr w:type="gramEnd"/>
      <w:r>
        <w:rPr>
          <w:sz w:val="26"/>
          <w:szCs w:val="26"/>
        </w:rPr>
        <w:t xml:space="preserve"> для населения представлены в таблице:</w:t>
      </w:r>
    </w:p>
    <w:tbl>
      <w:tblPr>
        <w:tblStyle w:val="af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850"/>
        <w:gridCol w:w="709"/>
        <w:gridCol w:w="992"/>
        <w:gridCol w:w="849"/>
        <w:gridCol w:w="709"/>
      </w:tblGrid>
      <w:tr w:rsidR="00FE6CC1">
        <w:trPr>
          <w:trHeight w:val="1485"/>
        </w:trPr>
        <w:tc>
          <w:tcPr>
            <w:tcW w:w="3969" w:type="dxa"/>
            <w:vMerge w:val="restart"/>
            <w:vAlign w:val="center"/>
          </w:tcPr>
          <w:p w:rsidR="00FE6CC1" w:rsidRDefault="005D0A16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552" w:type="dxa"/>
            <w:gridSpan w:val="3"/>
            <w:vAlign w:val="center"/>
          </w:tcPr>
          <w:p w:rsidR="00FE6CC1" w:rsidRDefault="005D0A16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Экономически обоснованный единый тариф по приказу РСТ Югры № 122-нп на 2025 год, руб./м3, с учетом НДС</w:t>
            </w:r>
          </w:p>
        </w:tc>
        <w:tc>
          <w:tcPr>
            <w:tcW w:w="2550" w:type="dxa"/>
            <w:gridSpan w:val="3"/>
            <w:vAlign w:val="center"/>
          </w:tcPr>
          <w:p w:rsidR="00FE6CC1" w:rsidRDefault="005D0A16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Единый тариф для населения по </w:t>
            </w:r>
            <w:r>
              <w:rPr>
                <w:color w:val="000000"/>
                <w:sz w:val="20"/>
                <w:szCs w:val="20"/>
              </w:rPr>
              <w:t xml:space="preserve">приказу </w:t>
            </w:r>
            <w:r>
              <w:rPr>
                <w:sz w:val="20"/>
                <w:szCs w:val="20"/>
              </w:rPr>
              <w:t>АО «Югра-Экология» № 01-06-ЮЭ/201 на 2025 год, руб./м3, с учетом НДС</w:t>
            </w:r>
          </w:p>
        </w:tc>
      </w:tr>
      <w:tr w:rsidR="00FE6CC1">
        <w:trPr>
          <w:trHeight w:val="982"/>
        </w:trPr>
        <w:tc>
          <w:tcPr>
            <w:tcW w:w="3969" w:type="dxa"/>
            <w:vMerge/>
          </w:tcPr>
          <w:p w:rsidR="00FE6CC1" w:rsidRDefault="00FE6CC1"/>
        </w:tc>
        <w:tc>
          <w:tcPr>
            <w:tcW w:w="993" w:type="dxa"/>
            <w:vAlign w:val="center"/>
          </w:tcPr>
          <w:p w:rsidR="00FE6CC1" w:rsidRDefault="005D0A16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850" w:type="dxa"/>
            <w:vAlign w:val="center"/>
          </w:tcPr>
          <w:p w:rsidR="00FE6CC1" w:rsidRDefault="005D0A16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  <w:tc>
          <w:tcPr>
            <w:tcW w:w="709" w:type="dxa"/>
            <w:vAlign w:val="center"/>
          </w:tcPr>
          <w:p w:rsidR="00FE6CC1" w:rsidRDefault="005D0A16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рост,%</w:t>
            </w:r>
          </w:p>
        </w:tc>
        <w:tc>
          <w:tcPr>
            <w:tcW w:w="992" w:type="dxa"/>
            <w:vAlign w:val="center"/>
          </w:tcPr>
          <w:p w:rsidR="00FE6CC1" w:rsidRDefault="005D0A16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849" w:type="dxa"/>
            <w:vAlign w:val="center"/>
          </w:tcPr>
          <w:p w:rsidR="00FE6CC1" w:rsidRDefault="005D0A16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  <w:tc>
          <w:tcPr>
            <w:tcW w:w="709" w:type="dxa"/>
            <w:vAlign w:val="center"/>
          </w:tcPr>
          <w:p w:rsidR="00FE6CC1" w:rsidRDefault="005D0A16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рост,%</w:t>
            </w:r>
          </w:p>
        </w:tc>
      </w:tr>
      <w:tr w:rsidR="00FE6CC1">
        <w:trPr>
          <w:trHeight w:val="1691"/>
        </w:trPr>
        <w:tc>
          <w:tcPr>
            <w:tcW w:w="3969" w:type="dxa"/>
          </w:tcPr>
          <w:p w:rsidR="00FE6CC1" w:rsidRDefault="005D0A16">
            <w:pPr>
              <w:tabs>
                <w:tab w:val="left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Северная зона на территории муниципальных образований </w:t>
            </w:r>
            <w:r>
              <w:rPr>
                <w:bCs/>
                <w:color w:val="000000"/>
                <w:sz w:val="20"/>
                <w:szCs w:val="20"/>
              </w:rPr>
              <w:t xml:space="preserve">городских округов: Нижневартовск, Сургут, Когалым,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Мегион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Лангепас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Радужный,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Покачи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муниципальных районов: Белоярский, Березовский,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Сургутский</w:t>
            </w:r>
            <w:proofErr w:type="spellEnd"/>
          </w:p>
        </w:tc>
        <w:tc>
          <w:tcPr>
            <w:tcW w:w="993" w:type="dxa"/>
            <w:vAlign w:val="center"/>
          </w:tcPr>
          <w:p w:rsidR="00FE6CC1" w:rsidRDefault="005D0A16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946,85</w:t>
            </w:r>
          </w:p>
        </w:tc>
        <w:tc>
          <w:tcPr>
            <w:tcW w:w="850" w:type="dxa"/>
            <w:vAlign w:val="center"/>
          </w:tcPr>
          <w:p w:rsidR="00FE6CC1" w:rsidRDefault="005D0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1059,50</w:t>
            </w:r>
          </w:p>
        </w:tc>
        <w:tc>
          <w:tcPr>
            <w:tcW w:w="709" w:type="dxa"/>
            <w:vAlign w:val="center"/>
          </w:tcPr>
          <w:p w:rsidR="00FE6CC1" w:rsidRDefault="005D0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  <w:vAlign w:val="center"/>
          </w:tcPr>
          <w:p w:rsidR="00FE6CC1" w:rsidRDefault="005D0A16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900,44</w:t>
            </w:r>
          </w:p>
        </w:tc>
        <w:tc>
          <w:tcPr>
            <w:tcW w:w="849" w:type="dxa"/>
            <w:vAlign w:val="center"/>
          </w:tcPr>
          <w:p w:rsidR="00FE6CC1" w:rsidRDefault="005D0A16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981,48</w:t>
            </w:r>
          </w:p>
        </w:tc>
        <w:tc>
          <w:tcPr>
            <w:tcW w:w="709" w:type="dxa"/>
            <w:vAlign w:val="center"/>
          </w:tcPr>
          <w:p w:rsidR="00FE6CC1" w:rsidRDefault="005D0A16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FE6CC1">
        <w:tc>
          <w:tcPr>
            <w:tcW w:w="3969" w:type="dxa"/>
          </w:tcPr>
          <w:p w:rsidR="00FE6CC1" w:rsidRDefault="005D0A16">
            <w:pPr>
              <w:tabs>
                <w:tab w:val="left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Южная зона на территории муниципальных образований городских округов: Ханты-Мансийск, Нефтеюганск, </w:t>
            </w:r>
            <w:proofErr w:type="spellStart"/>
            <w:r>
              <w:rPr>
                <w:sz w:val="20"/>
                <w:szCs w:val="20"/>
              </w:rPr>
              <w:t>Нягань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Пыть-Ях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 xml:space="preserve">, муниципальных районов: Октябрьский, Советский, </w:t>
            </w:r>
            <w:proofErr w:type="spellStart"/>
            <w:r>
              <w:rPr>
                <w:sz w:val="20"/>
                <w:szCs w:val="20"/>
              </w:rPr>
              <w:t>Нефтеюганский</w:t>
            </w:r>
            <w:proofErr w:type="spellEnd"/>
            <w:r>
              <w:rPr>
                <w:sz w:val="20"/>
                <w:szCs w:val="20"/>
              </w:rPr>
              <w:t xml:space="preserve">, Ханты-Мансийский, </w:t>
            </w:r>
            <w:proofErr w:type="spellStart"/>
            <w:r>
              <w:rPr>
                <w:sz w:val="20"/>
                <w:szCs w:val="20"/>
              </w:rPr>
              <w:t>Кондинский</w:t>
            </w:r>
            <w:proofErr w:type="spellEnd"/>
            <w:r>
              <w:rPr>
                <w:sz w:val="20"/>
                <w:szCs w:val="20"/>
              </w:rPr>
              <w:t xml:space="preserve">, в том </w:t>
            </w:r>
            <w:proofErr w:type="gramStart"/>
            <w:r>
              <w:rPr>
                <w:sz w:val="20"/>
                <w:szCs w:val="20"/>
              </w:rPr>
              <w:t>числе</w:t>
            </w:r>
            <w:proofErr w:type="gramEnd"/>
          </w:p>
        </w:tc>
        <w:tc>
          <w:tcPr>
            <w:tcW w:w="993" w:type="dxa"/>
            <w:vAlign w:val="center"/>
          </w:tcPr>
          <w:p w:rsidR="00FE6CC1" w:rsidRDefault="005D0A16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1076,95</w:t>
            </w:r>
          </w:p>
        </w:tc>
        <w:tc>
          <w:tcPr>
            <w:tcW w:w="850" w:type="dxa"/>
            <w:vAlign w:val="center"/>
          </w:tcPr>
          <w:p w:rsidR="00FE6CC1" w:rsidRDefault="005D0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1205,06</w:t>
            </w:r>
          </w:p>
        </w:tc>
        <w:tc>
          <w:tcPr>
            <w:tcW w:w="709" w:type="dxa"/>
            <w:vAlign w:val="center"/>
          </w:tcPr>
          <w:p w:rsidR="00FE6CC1" w:rsidRDefault="005D0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  <w:vAlign w:val="center"/>
          </w:tcPr>
          <w:p w:rsidR="00FE6CC1" w:rsidRDefault="005D0A16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912,08</w:t>
            </w:r>
          </w:p>
        </w:tc>
        <w:tc>
          <w:tcPr>
            <w:tcW w:w="849" w:type="dxa"/>
            <w:vAlign w:val="center"/>
          </w:tcPr>
          <w:p w:rsidR="00FE6CC1" w:rsidRDefault="005D0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994,17</w:t>
            </w:r>
          </w:p>
        </w:tc>
        <w:tc>
          <w:tcPr>
            <w:tcW w:w="709" w:type="dxa"/>
            <w:vAlign w:val="center"/>
          </w:tcPr>
          <w:p w:rsidR="00FE6CC1" w:rsidRDefault="005D0A16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FE6CC1">
        <w:trPr>
          <w:trHeight w:val="537"/>
        </w:trPr>
        <w:tc>
          <w:tcPr>
            <w:tcW w:w="3969" w:type="dxa"/>
          </w:tcPr>
          <w:p w:rsidR="00FE6CC1" w:rsidRDefault="005D0A16">
            <w:pPr>
              <w:tabs>
                <w:tab w:val="left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 территории муниципального образования городской округ </w:t>
            </w:r>
            <w:proofErr w:type="spellStart"/>
            <w:r>
              <w:rPr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993" w:type="dxa"/>
            <w:vAlign w:val="center"/>
          </w:tcPr>
          <w:p w:rsidR="00FE6CC1" w:rsidRDefault="005D0A16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1076,95</w:t>
            </w:r>
          </w:p>
        </w:tc>
        <w:tc>
          <w:tcPr>
            <w:tcW w:w="850" w:type="dxa"/>
            <w:vAlign w:val="center"/>
          </w:tcPr>
          <w:p w:rsidR="00FE6CC1" w:rsidRDefault="005D0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1205,06</w:t>
            </w:r>
          </w:p>
        </w:tc>
        <w:tc>
          <w:tcPr>
            <w:tcW w:w="709" w:type="dxa"/>
            <w:vAlign w:val="center"/>
          </w:tcPr>
          <w:p w:rsidR="00FE6CC1" w:rsidRDefault="005D0A16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  <w:vAlign w:val="center"/>
          </w:tcPr>
          <w:p w:rsidR="00FE6CC1" w:rsidRDefault="005D0A16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707,07</w:t>
            </w:r>
          </w:p>
        </w:tc>
        <w:tc>
          <w:tcPr>
            <w:tcW w:w="849" w:type="dxa"/>
            <w:vAlign w:val="center"/>
          </w:tcPr>
          <w:p w:rsidR="00FE6CC1" w:rsidRDefault="005D0A16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770,71</w:t>
            </w:r>
          </w:p>
        </w:tc>
        <w:tc>
          <w:tcPr>
            <w:tcW w:w="709" w:type="dxa"/>
            <w:vAlign w:val="center"/>
          </w:tcPr>
          <w:p w:rsidR="00FE6CC1" w:rsidRDefault="005D0A16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</w:tbl>
    <w:p w:rsidR="00FE6CC1" w:rsidRDefault="00FE6CC1">
      <w:pPr>
        <w:pStyle w:val="afd"/>
        <w:jc w:val="right"/>
        <w:rPr>
          <w:sz w:val="28"/>
          <w:szCs w:val="28"/>
        </w:rPr>
      </w:pPr>
    </w:p>
    <w:sectPr w:rsidR="00FE6CC1">
      <w:headerReference w:type="first" r:id="rId10"/>
      <w:footerReference w:type="first" r:id="rId11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A7" w:rsidRDefault="005D0A16">
      <w:r>
        <w:separator/>
      </w:r>
    </w:p>
  </w:endnote>
  <w:endnote w:type="continuationSeparator" w:id="0">
    <w:p w:rsidR="008624A7" w:rsidRDefault="005D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C1" w:rsidRDefault="00FE6CC1">
    <w:pPr>
      <w:pStyle w:val="af3"/>
      <w:jc w:val="center"/>
    </w:pPr>
  </w:p>
  <w:p w:rsidR="00FE6CC1" w:rsidRDefault="00FE6CC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A7" w:rsidRDefault="005D0A16">
      <w:r>
        <w:separator/>
      </w:r>
    </w:p>
  </w:footnote>
  <w:footnote w:type="continuationSeparator" w:id="0">
    <w:p w:rsidR="008624A7" w:rsidRDefault="005D0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C1" w:rsidRDefault="00FE6CC1">
    <w:pPr>
      <w:pStyle w:val="ad"/>
      <w:jc w:val="center"/>
    </w:pPr>
  </w:p>
  <w:p w:rsidR="00FE6CC1" w:rsidRDefault="00FE6CC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C1"/>
    <w:rsid w:val="005D0A16"/>
    <w:rsid w:val="008624A7"/>
    <w:rsid w:val="00ED2FBF"/>
    <w:rsid w:val="00FE6CC1"/>
    <w:rsid w:val="6862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">
    <w:name w:val="Body Text"/>
    <w:basedOn w:val="a"/>
    <w:link w:val="af0"/>
    <w:pPr>
      <w:spacing w:after="120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1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2">
    <w:name w:val="Title"/>
    <w:basedOn w:val="a"/>
    <w:next w:val="a"/>
    <w:link w:val="1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</w:style>
  <w:style w:type="table" w:styleId="a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Название Знак1"/>
    <w:basedOn w:val="a0"/>
    <w:link w:val="af2"/>
    <w:uiPriority w:val="10"/>
    <w:rPr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customStyle="1" w:styleId="13">
    <w:name w:val="Заголовок оглавления1"/>
    <w:uiPriority w:val="39"/>
    <w:unhideWhenUsed/>
  </w:style>
  <w:style w:type="paragraph" w:customStyle="1" w:styleId="14">
    <w:name w:val="Название1"/>
    <w:basedOn w:val="a"/>
    <w:link w:val="afc"/>
    <w:qFormat/>
    <w:pPr>
      <w:jc w:val="center"/>
    </w:pPr>
    <w:rPr>
      <w:sz w:val="28"/>
      <w:szCs w:val="20"/>
    </w:rPr>
  </w:style>
  <w:style w:type="character" w:customStyle="1" w:styleId="afc">
    <w:name w:val="Название Знак"/>
    <w:link w:val="14"/>
    <w:rPr>
      <w:sz w:val="28"/>
    </w:rPr>
  </w:style>
  <w:style w:type="character" w:customStyle="1" w:styleId="af0">
    <w:name w:val="Основной текст Знак"/>
    <w:link w:val="af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styleId="afd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5">
    <w:name w:val="Заголовок №1_"/>
    <w:link w:val="16"/>
    <w:rPr>
      <w:b/>
      <w:bCs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sz w:val="24"/>
      <w:szCs w:val="24"/>
    </w:rPr>
  </w:style>
  <w:style w:type="character" w:customStyle="1" w:styleId="titlerazdel">
    <w:name w:val="title_razdel"/>
  </w:style>
  <w:style w:type="character" w:customStyle="1" w:styleId="17">
    <w:name w:val="Гиперссылка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">
    <w:name w:val="Body Text"/>
    <w:basedOn w:val="a"/>
    <w:link w:val="af0"/>
    <w:pPr>
      <w:spacing w:after="120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1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2">
    <w:name w:val="Title"/>
    <w:basedOn w:val="a"/>
    <w:next w:val="a"/>
    <w:link w:val="1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</w:style>
  <w:style w:type="table" w:styleId="a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Название Знак1"/>
    <w:basedOn w:val="a0"/>
    <w:link w:val="af2"/>
    <w:uiPriority w:val="10"/>
    <w:rPr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customStyle="1" w:styleId="13">
    <w:name w:val="Заголовок оглавления1"/>
    <w:uiPriority w:val="39"/>
    <w:unhideWhenUsed/>
  </w:style>
  <w:style w:type="paragraph" w:customStyle="1" w:styleId="14">
    <w:name w:val="Название1"/>
    <w:basedOn w:val="a"/>
    <w:link w:val="afc"/>
    <w:qFormat/>
    <w:pPr>
      <w:jc w:val="center"/>
    </w:pPr>
    <w:rPr>
      <w:sz w:val="28"/>
      <w:szCs w:val="20"/>
    </w:rPr>
  </w:style>
  <w:style w:type="character" w:customStyle="1" w:styleId="afc">
    <w:name w:val="Название Знак"/>
    <w:link w:val="14"/>
    <w:rPr>
      <w:sz w:val="28"/>
    </w:rPr>
  </w:style>
  <w:style w:type="character" w:customStyle="1" w:styleId="af0">
    <w:name w:val="Основной текст Знак"/>
    <w:link w:val="af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styleId="afd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5">
    <w:name w:val="Заголовок №1_"/>
    <w:link w:val="16"/>
    <w:rPr>
      <w:b/>
      <w:bCs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sz w:val="24"/>
      <w:szCs w:val="24"/>
    </w:rPr>
  </w:style>
  <w:style w:type="character" w:customStyle="1" w:styleId="titlerazdel">
    <w:name w:val="title_razdel"/>
  </w:style>
  <w:style w:type="character" w:customStyle="1" w:styleId="17">
    <w:name w:val="Гиперссылка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st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A0E418-21DB-4090-8150-EAB32883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3926</Characters>
  <Application>Microsoft Office Word</Application>
  <DocSecurity>0</DocSecurity>
  <Lines>32</Lines>
  <Paragraphs>9</Paragraphs>
  <ScaleCrop>false</ScaleCrop>
  <Company>*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Зинченко Яна Александровна</cp:lastModifiedBy>
  <cp:revision>66</cp:revision>
  <dcterms:created xsi:type="dcterms:W3CDTF">2021-04-13T10:43:00Z</dcterms:created>
  <dcterms:modified xsi:type="dcterms:W3CDTF">2025-01-29T09:08:00Z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