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540"/>
        <w:jc w:val="center"/>
        <w:outlineLvl w:val="0"/>
        <w:rPr>
          <w:rFonts w:hint="default" w:ascii="Arial" w:hAnsi="Arial"/>
          <w:b/>
          <w:sz w:val="28"/>
          <w:szCs w:val="28"/>
        </w:rPr>
      </w:pPr>
      <w:r>
        <w:rPr>
          <w:rFonts w:hint="default" w:ascii="Arial" w:hAnsi="Arial"/>
          <w:b/>
          <w:sz w:val="28"/>
          <w:szCs w:val="28"/>
        </w:rPr>
        <w:t>Кодекс Российской Федерации об административных правонарушениях" от 30.12.2001 N 195-ФЗ</w:t>
      </w:r>
    </w:p>
    <w:p>
      <w:pPr>
        <w:spacing w:beforeLines="0" w:afterLines="0"/>
        <w:ind w:firstLine="540"/>
        <w:jc w:val="center"/>
        <w:outlineLvl w:val="0"/>
        <w:rPr>
          <w:rFonts w:hint="default" w:ascii="Arial" w:hAnsi="Arial"/>
          <w:b/>
          <w:sz w:val="28"/>
          <w:szCs w:val="28"/>
        </w:rPr>
      </w:pPr>
      <w:bookmarkStart w:id="1" w:name="_GoBack"/>
      <w:bookmarkEnd w:id="1"/>
    </w:p>
    <w:p>
      <w:pPr>
        <w:spacing w:beforeLines="0" w:afterLines="0"/>
        <w:ind w:firstLine="540"/>
        <w:outlineLvl w:val="0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Статья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Федерального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consultantplus://offline/ref=85065276CD4C32A6331D4C92C206D210E245DBA52470033904244CDE3F7CF9117ECFDB1CB6A7425551758E443ACCAF4E8E3621636AA5EE34J6z3G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от 03.02.2015 N 7-ФЗ)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Федерального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consultantplus://offline/ref=85065276CD4C32A6331D4C92C206D210E245DBA52978033904244CDE3F7CF9117ECFDB1CB6A7435250758E443ACCAF4E8E3621636AA5EE34J6z3G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от 21.12.2013 N 365-ФЗ)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1. Потребление (распитие) алкогольной продукции в местах, запрещенных федеральным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consultantplus://offline/ref=85065276CD4C32A6331D4C92C206D210E447D8A72E79033904244CDE3F7CF9117ECFDB1CB6A74A5451758E443ACCAF4E8E3621636AA5EE34J6z3G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>, -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наложение административного штрафа в размере от пятисот до одной тысячи пятисот рублей.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bookmarkStart w:id="0" w:name="Par6"/>
      <w:bookmarkEnd w:id="0"/>
      <w:r>
        <w:rPr>
          <w:rFonts w:hint="default" w:ascii="Arial" w:hAnsi="Arial"/>
          <w:sz w:val="20"/>
          <w:szCs w:val="24"/>
        </w:rPr>
        <w:t xml:space="preserve">2. Потребление наркотических средств или психотропных веществ без назначения врача, новых потенциально опасных психоактивных веществ или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consultantplus://offline/ref=85065276CD4C32A6331D4C92C206D210E34CDBA12879033904244CDE3F7CF9117ECFDB1CB6A742525D758E443ACCAF4E8E3621636AA5EE34J6z3G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одурманивающих веществ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(в ред. Федеральных законов от 03.02.2015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consultantplus://offline/ref=85065276CD4C32A6331D4C92C206D210E245DBA52470033904244CDE3F7CF9117ECFDB1CB6A7425553758E443ACCAF4E8E3621636AA5EE34J6z3G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7-ФЗ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, от 13.07.2015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consultantplus://offline/ref=85065276CD4C32A6331D4C92C206D210E14DD8A12F70033904244CDE3F7CF9117ECFDB1CB6A7425B51758E443ACCAF4E8E3621636AA5EE34J6z3G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230-ФЗ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>)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3. Действия, указанные в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Par6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части 2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настоящей статьи, совершенные иностранным гражданином или лицом без гражданства, -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Статья 20.21. Появление в общественных местах в состоянии опьянения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/>
    <w:sectPr>
      <w:pgSz w:w="11906" w:h="16838"/>
      <w:pgMar w:top="1440" w:right="566" w:bottom="1440" w:left="1133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447E6D"/>
    <w:rsid w:val="71E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2023-03-20T06:49:00Z</dcterms:created>
  <dc:creator>BelyaevAS</dc:creator>
  <cp:lastModifiedBy>BelyaevAS</cp:lastModifiedBy>
  <dcterms:modified xsi:type="dcterms:W3CDTF">2023-03-20T06:53:43Z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B5C79ACDA99D4BF98B117FED64DE2C39</vt:lpwstr>
  </property>
</Properties>
</file>