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sz w:val="20"/>
        </w:rPr>
        <w:t xml:space="preserve">Документ предоставлен </w:t>
      </w:r>
      <w:r>
        <w:fldChar w:fldCharType="begin"/>
      </w:r>
      <w:r>
        <w:instrText xml:space="preserve">HYPERLINK "https://www.consultant.ru"</w:instrText>
      </w:r>
      <w:r>
        <w:fldChar w:fldCharType="separate"/>
      </w:r>
      <w:r>
        <w:rPr>
          <w:color w:val="0000FF"/>
          <w:sz w:val="20"/>
        </w:rPr>
        <w:t>КонсультантПлюс</w:t>
      </w:r>
      <w:r>
        <w:fldChar w:fldCharType="end"/>
      </w:r>
      <w:r>
        <w:rPr>
          <w:sz w:val="20"/>
        </w:rPr>
        <w:br w:type="textWrapping"/>
      </w:r>
    </w:p>
    <w:p>
      <w:pPr>
        <w:pStyle w:val="4"/>
        <w:outlineLvl w:val="0"/>
      </w:pPr>
    </w:p>
    <w:p>
      <w:pPr>
        <w:pStyle w:val="6"/>
        <w:jc w:val="center"/>
        <w:outlineLvl w:val="0"/>
      </w:pPr>
      <w:r>
        <w:rPr>
          <w:sz w:val="20"/>
        </w:rPr>
        <w:t>АДМИНИСТРАЦИЯ БЕЛОЯРСКОГО РАЙОНА</w:t>
      </w:r>
    </w:p>
    <w:p>
      <w:pPr>
        <w:pStyle w:val="6"/>
        <w:jc w:val="center"/>
      </w:pPr>
    </w:p>
    <w:p>
      <w:pPr>
        <w:pStyle w:val="6"/>
        <w:jc w:val="center"/>
      </w:pPr>
      <w:r>
        <w:rPr>
          <w:sz w:val="20"/>
        </w:rPr>
        <w:t>ПОСТАНОВЛЕНИЕ</w:t>
      </w:r>
    </w:p>
    <w:p>
      <w:pPr>
        <w:pStyle w:val="6"/>
        <w:jc w:val="center"/>
      </w:pPr>
      <w:r>
        <w:rPr>
          <w:sz w:val="20"/>
        </w:rPr>
        <w:t>от 23 июня 2020 г. N 550</w:t>
      </w:r>
    </w:p>
    <w:p>
      <w:pPr>
        <w:pStyle w:val="6"/>
        <w:jc w:val="center"/>
      </w:pPr>
    </w:p>
    <w:p>
      <w:pPr>
        <w:pStyle w:val="6"/>
        <w:jc w:val="center"/>
      </w:pPr>
      <w:r>
        <w:rPr>
          <w:sz w:val="20"/>
        </w:rPr>
        <w:t>ОБ УТВЕРЖДЕНИИ ПОРЯДКА ФОРМИРОВАНИЯ ПЕРЕЧНЯ НАЛОГОВЫХ</w:t>
      </w:r>
    </w:p>
    <w:p>
      <w:pPr>
        <w:pStyle w:val="6"/>
        <w:jc w:val="center"/>
      </w:pPr>
      <w:r>
        <w:rPr>
          <w:sz w:val="20"/>
        </w:rPr>
        <w:t>РАСХОДОВ БЕЛОЯРСКОГО РАЙОНА И ПОСЕЛЕНИЙ В ГРАНИЦАХ</w:t>
      </w:r>
    </w:p>
    <w:p>
      <w:pPr>
        <w:pStyle w:val="6"/>
        <w:jc w:val="center"/>
      </w:pPr>
      <w:r>
        <w:rPr>
          <w:sz w:val="20"/>
        </w:rPr>
        <w:t>БЕЛОЯРСКОГО РАЙОНА</w:t>
      </w:r>
    </w:p>
    <w:p>
      <w:pPr>
        <w:spacing w:before="0" w:after="1"/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13672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HYPERLINK "consultantplus://offline/ref=4645C8B5766662CEAB36D1969C1602DA7211B56FCD598935877C48F96A5E25396B672EC5016464AF2F6FC91C0722DCD1DF97F593A5E073BC161E2D35Z5J2M"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fldChar w:fldCharType="end"/>
            </w:r>
            <w:r>
              <w:rPr>
                <w:color w:val="392C69"/>
                <w:sz w:val="20"/>
              </w:rPr>
              <w:t xml:space="preserve"> Администрации Белоярского района от 08.06.2021 N 478)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  <w:r>
        <w:rPr>
          <w:sz w:val="20"/>
        </w:rPr>
        <w:t xml:space="preserve">В соответствии с </w:t>
      </w:r>
      <w:r>
        <w:fldChar w:fldCharType="begin"/>
      </w:r>
      <w:r>
        <w:instrText xml:space="preserve">HYPERLINK "consultantplus://offline/ref=4645C8B5766662CEAB36CF9B8A7A55D57712E261CC588667DB2F4EAE350E236C2B27289545266EA57B3E8D490F288D9E9AC3E690A0FCZ7J3M"</w:instrText>
      </w:r>
      <w:r>
        <w:fldChar w:fldCharType="separate"/>
      </w:r>
      <w:r>
        <w:rPr>
          <w:color w:val="0000FF"/>
          <w:sz w:val="20"/>
        </w:rPr>
        <w:t>пунктом 1 статьи 174.3</w:t>
      </w:r>
      <w:r>
        <w:fldChar w:fldCharType="end"/>
      </w:r>
      <w:r>
        <w:rPr>
          <w:sz w:val="20"/>
        </w:rPr>
        <w:t xml:space="preserve"> Бюджетного кодекса Российской Федерации, </w:t>
      </w:r>
      <w:r>
        <w:fldChar w:fldCharType="begin"/>
      </w:r>
      <w:r>
        <w:instrText xml:space="preserve">HYPERLINK "consultantplus://offline/ref=4645C8B5766662CEAB36CF9B8A7A55D5771FE26ACC538667DB2F4EAE350E236C2B272890422069AC2A649D4D467C85819EDCF993BEFC72BFZ0J9M"</w:instrText>
      </w:r>
      <w:r>
        <w:fldChar w:fldCharType="separate"/>
      </w:r>
      <w:r>
        <w:rPr>
          <w:color w:val="0000FF"/>
          <w:sz w:val="20"/>
        </w:rPr>
        <w:t>Постановлением</w:t>
      </w:r>
      <w:r>
        <w:fldChar w:fldCharType="end"/>
      </w:r>
      <w:r>
        <w:rPr>
          <w:sz w:val="20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 постановляю: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1. Утвердить прилагаемый </w:t>
      </w:r>
      <w:r>
        <w:fldChar w:fldCharType="begin"/>
      </w:r>
      <w:r>
        <w:instrText xml:space="preserve">HYPERLINK \l"P30"</w:instrText>
      </w:r>
      <w:r>
        <w:fldChar w:fldCharType="separate"/>
      </w:r>
      <w:r>
        <w:rPr>
          <w:color w:val="0000FF"/>
          <w:sz w:val="20"/>
        </w:rPr>
        <w:t>Порядок</w:t>
      </w:r>
      <w:r>
        <w:fldChar w:fldCharType="end"/>
      </w:r>
      <w:r>
        <w:rPr>
          <w:sz w:val="20"/>
        </w:rPr>
        <w:t xml:space="preserve"> формирования перечня налоговых расходов Белоярского района и поселений в границах Белоярского района.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 Опубликовать настоящее постановление в газете "Белоярские вести. Официальный выпуск".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3. Настоящее постановление вступает в силу после его официального опубликования и распространяет свое действие на правоотношения, возникшие с 1 января 2020 года.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 Контроль за выполнением настоящего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 Гисс И.Ю.</w:t>
      </w:r>
    </w:p>
    <w:p>
      <w:pPr>
        <w:pStyle w:val="4"/>
        <w:ind w:firstLine="540"/>
        <w:jc w:val="both"/>
      </w:pPr>
    </w:p>
    <w:p>
      <w:pPr>
        <w:pStyle w:val="4"/>
        <w:jc w:val="right"/>
      </w:pPr>
      <w:r>
        <w:rPr>
          <w:sz w:val="20"/>
        </w:rPr>
        <w:t>Глава Белоярского района</w:t>
      </w:r>
    </w:p>
    <w:p>
      <w:pPr>
        <w:pStyle w:val="4"/>
        <w:jc w:val="right"/>
      </w:pPr>
      <w:r>
        <w:rPr>
          <w:sz w:val="20"/>
        </w:rPr>
        <w:t>С.П.МАНЕНКОВ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jc w:val="right"/>
        <w:outlineLvl w:val="0"/>
      </w:pPr>
      <w:r>
        <w:rPr>
          <w:sz w:val="20"/>
        </w:rPr>
        <w:t>Утвержден</w:t>
      </w:r>
    </w:p>
    <w:p>
      <w:pPr>
        <w:pStyle w:val="4"/>
        <w:jc w:val="right"/>
      </w:pPr>
      <w:r>
        <w:rPr>
          <w:sz w:val="20"/>
        </w:rPr>
        <w:t>постановлением администрации</w:t>
      </w:r>
    </w:p>
    <w:p>
      <w:pPr>
        <w:pStyle w:val="4"/>
        <w:jc w:val="right"/>
      </w:pPr>
      <w:r>
        <w:rPr>
          <w:sz w:val="20"/>
        </w:rPr>
        <w:t>Белоярского района</w:t>
      </w:r>
    </w:p>
    <w:p>
      <w:pPr>
        <w:pStyle w:val="4"/>
        <w:jc w:val="right"/>
      </w:pPr>
      <w:r>
        <w:rPr>
          <w:sz w:val="20"/>
        </w:rPr>
        <w:t>от 23 июня 2020 года N 550</w:t>
      </w:r>
    </w:p>
    <w:p>
      <w:pPr>
        <w:pStyle w:val="4"/>
      </w:pPr>
    </w:p>
    <w:p>
      <w:pPr>
        <w:pStyle w:val="6"/>
        <w:jc w:val="center"/>
      </w:pPr>
      <w:r>
        <w:rPr>
          <w:sz w:val="20"/>
        </w:rPr>
        <w:t>ПОРЯДОК</w:t>
      </w:r>
    </w:p>
    <w:p>
      <w:pPr>
        <w:pStyle w:val="6"/>
        <w:jc w:val="center"/>
      </w:pPr>
      <w:r>
        <w:rPr>
          <w:sz w:val="20"/>
        </w:rPr>
        <w:t>ФОРМИРОВАНИЯ ПЕРЕЧНЯ НАЛОГОВЫХ РАСХОДОВ БЕЛОЯРСКОГО РАЙОНА</w:t>
      </w:r>
    </w:p>
    <w:p>
      <w:pPr>
        <w:pStyle w:val="6"/>
        <w:jc w:val="center"/>
      </w:pPr>
      <w:r>
        <w:rPr>
          <w:sz w:val="20"/>
        </w:rPr>
        <w:t>И ПОСЕЛЕНИЙ В ГРАНИЦАХ БЕЛОЯРСКОГО РАЙОНА</w:t>
      </w:r>
    </w:p>
    <w:p>
      <w:pPr>
        <w:spacing w:before="0" w:after="1"/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"/>
        <w:gridCol w:w="113"/>
        <w:gridCol w:w="13672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>
            <w:pPr>
              <w:pStyle w:val="4"/>
              <w:jc w:val="center"/>
            </w:pPr>
            <w:r>
              <w:rPr>
                <w:color w:val="392C69"/>
                <w:sz w:val="20"/>
              </w:rPr>
              <w:t xml:space="preserve">(в ред. </w:t>
            </w:r>
            <w:r>
              <w:fldChar w:fldCharType="begin"/>
            </w:r>
            <w:r>
              <w:instrText xml:space="preserve">HYPERLINK "consultantplus://offline/ref=4645C8B5766662CEAB36D1969C1602DA7211B56FCD598935877C48F96A5E25396B672EC5016464AF2F6FC91C0722DCD1DF97F593A5E073BC161E2D35Z5J2M"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постановления</w:t>
            </w:r>
            <w:r>
              <w:fldChar w:fldCharType="end"/>
            </w:r>
            <w:r>
              <w:rPr>
                <w:color w:val="392C69"/>
                <w:sz w:val="20"/>
              </w:rPr>
              <w:t xml:space="preserve"> Администрации Белоярского района от 08.06.2021 N 478)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pStyle w:val="4"/>
      </w:pPr>
    </w:p>
    <w:p>
      <w:pPr>
        <w:pStyle w:val="4"/>
        <w:ind w:firstLine="540"/>
        <w:jc w:val="both"/>
      </w:pPr>
      <w:r>
        <w:rPr>
          <w:sz w:val="20"/>
        </w:rPr>
        <w:t>1. Настоящий Порядок формирования перечня налоговых расходов Белоярского района и поселений в границах Белоярского района (далее - Порядок) устанавливает процедуру формирования перечня налоговых расходов Белоярского района (далее - района) и поселений в границах Белоярского района (далее - 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2. Понятия, используемые в настоящем Порядке, означают следующее: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налоговые расходы района (поселений) - выпадающие доходы бюджета района (поселений), обусловленные налоговыми льготами, освобождениями и иными преференциями по налогам, предусмотренными в качестве мер государственной (муниципальной) поддержки в соответствии с целями муниципальных программ района (поселений) и (или) целями социально-экономической политики района (поселений), не относящимися к муниципальным программам района (поселений);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куратор налогового расхода района (поселений) - орган администрации района (поселений), ответственный в соответствии с полномочиями, установленными нормативными правовыми актами района (поселений), за достижение соответствующих налоговому расходу целей муниципальной программы района (поселений) и (или) целей социально-экономической политики района (поселений), не относящихся к муниципальным программам района (поселений);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перечень налоговых расходов района (поселений) - документ, содержащий сведения о распределении налоговых расходов района (поселений) в соответствии с целями муниципальных программ района (поселений), структурных элементов муниципальных программ района (поселений) и (или) целями социально-экономической политики района (поселений), не относящимися к муниципальным программам района (поселений), а также о кураторах налоговых расходов.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3. Проект </w:t>
      </w:r>
      <w:r>
        <w:fldChar w:fldCharType="begin"/>
      </w:r>
      <w:r>
        <w:instrText xml:space="preserve">HYPERLINK \l"P66"</w:instrText>
      </w:r>
      <w:r>
        <w:fldChar w:fldCharType="separate"/>
      </w:r>
      <w:r>
        <w:rPr>
          <w:color w:val="0000FF"/>
          <w:sz w:val="20"/>
        </w:rPr>
        <w:t>перечня</w:t>
      </w:r>
      <w:r>
        <w:fldChar w:fldCharType="end"/>
      </w:r>
      <w:r>
        <w:rPr>
          <w:sz w:val="20"/>
        </w:rPr>
        <w:t xml:space="preserve"> налоговых расходов района (поселений) формирует Комитет по финансам и налоговой политике администрации Белоярского района (далее - финансовый орган) ежегодно до 1 октября текущего финансового года по форме, согласно приложению к Порядку, и направляет на согласование в органы администрации района (администрации поселений), ответственные за достижение целей муниципальных программ района (поселений) и (или) целей социально-экономической политики района (поселений), не относящихся к муниципальным программам района (поселений), которых предлагает определить в качестве кураторов налоговых расходов (далее - ответственные исполнители).</w:t>
      </w:r>
    </w:p>
    <w:p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HYPERLINK "consultantplus://offline/ref=4645C8B5766662CEAB36D1969C1602DA7211B56FCD598935877C48F96A5E25396B672EC5016464AF2F6FC91C0422DCD1DF97F593A5E073BC161E2D35Z5J2M"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fldChar w:fldCharType="end"/>
      </w:r>
      <w:r>
        <w:rPr>
          <w:sz w:val="20"/>
        </w:rPr>
        <w:t xml:space="preserve"> Администрации Белоярского района от 08.06.2021 N 478)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4. Ответственные исполнители до 20 октября текущего финансового года рассматривают проект перечня налоговых расходов района (поселений) на предмет предлагаемого распределения налоговых расходов района (поселений) в соответствии с целями муниципальных программ района (поселений), структурных элементов муниципальных программ района (поселений) и (или) целями социально-экономической политики района (поселений), не относящимися к муниципальным программам района (поселений), и определения кураторов налоговых расходов.</w:t>
      </w:r>
    </w:p>
    <w:p>
      <w:pPr>
        <w:pStyle w:val="4"/>
        <w:jc w:val="both"/>
      </w:pPr>
      <w:r>
        <w:rPr>
          <w:sz w:val="20"/>
        </w:rPr>
        <w:t xml:space="preserve">(в ред. </w:t>
      </w:r>
      <w:r>
        <w:fldChar w:fldCharType="begin"/>
      </w:r>
      <w:r>
        <w:instrText xml:space="preserve">HYPERLINK "consultantplus://offline/ref=4645C8B5766662CEAB36D1969C1602DA7211B56FCD598935877C48F96A5E25396B672EC5016464AF2F6FC91C0522DCD1DF97F593A5E073BC161E2D35Z5J2M"</w:instrText>
      </w:r>
      <w:r>
        <w:fldChar w:fldCharType="separate"/>
      </w:r>
      <w:r>
        <w:rPr>
          <w:color w:val="0000FF"/>
          <w:sz w:val="20"/>
        </w:rPr>
        <w:t>постановления</w:t>
      </w:r>
      <w:r>
        <w:fldChar w:fldCharType="end"/>
      </w:r>
      <w:r>
        <w:rPr>
          <w:sz w:val="20"/>
        </w:rPr>
        <w:t xml:space="preserve"> Администрации Белоярского района от 08.06.2021 N 478)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Замечания и предложения по уточнению проекта перечня налоговых расходов направляются в финансовый орган.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в </w:t>
      </w:r>
      <w:r>
        <w:fldChar w:fldCharType="begin"/>
      </w:r>
      <w:r>
        <w:instrText xml:space="preserve">HYPERLINK \l"P43"</w:instrText>
      </w:r>
      <w:r>
        <w:fldChar w:fldCharType="separate"/>
      </w:r>
      <w:r>
        <w:rPr>
          <w:color w:val="0000FF"/>
          <w:sz w:val="20"/>
        </w:rPr>
        <w:t>абзаце первом</w:t>
      </w:r>
      <w:r>
        <w:fldChar w:fldCharType="end"/>
      </w:r>
      <w:r>
        <w:rPr>
          <w:sz w:val="20"/>
        </w:rPr>
        <w:t xml:space="preserve"> настоящего пункта, в финансовый орган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В случае, если замечания и предложения не направлены в финансовый орган в течение срока, указанного в </w:t>
      </w:r>
      <w:r>
        <w:fldChar w:fldCharType="begin"/>
      </w:r>
      <w:r>
        <w:instrText xml:space="preserve">HYPERLINK \l"P43"</w:instrText>
      </w:r>
      <w:r>
        <w:fldChar w:fldCharType="separate"/>
      </w:r>
      <w:r>
        <w:rPr>
          <w:color w:val="0000FF"/>
          <w:sz w:val="20"/>
        </w:rPr>
        <w:t>абзаце первом</w:t>
      </w:r>
      <w:r>
        <w:fldChar w:fldCharType="end"/>
      </w:r>
      <w:r>
        <w:rPr>
          <w:sz w:val="20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В случае отсутствия предложений по уточнению предлагаемого распределения налоговых расходов в соответствии с целями муниципальных программ района (поселений), структурных элементов муниципальных программ района (поселений) и (или) целями социально-экономической политики района (поселений), не относящимися к муниципальным программам района (поселений), проект перечня налоговых расходов считается согласованным в соответствующей части.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5. Перечень налоговых расходов утверждается распоряжением финансового органа до 1 декабря текущего финансового года и размещается на официальном сайте органов местного самоуправления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6. В случае внесения в текущем финансовом году изменений в перечень муниципальных программ района (поселений), структурные элементы муниципальных программ района (поселений) и (или) в случае изменения полномочий ответственных исполнителей, в связи с которыми возникает необходимость внесения изменений в перечень налоговых расходов района (поселений), кураторы налоговых расходов не позднее 5 рабочих дней со дня внесения указанных изменений направляют в финансовый орган соответствующую информацию для уточнения перечня налоговых расходов района (поселений).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7. В случае установления и (или) изменения в текущем финансовом году налоговых льгот по местным налогам финансовый орган не позднее 5 рабочих дней со дня внесения соответствующих изменений дополняет и (или) изменяет перечень налоговых расходов района (поселений) и направляет на согласование ответственным исполнителям.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>Замечания и предложения по уточнению проекта перечня налоговых расходов района (поселений) направляются в финансовый орган в течение 10 рабочих дней с даты его получения.</w:t>
      </w:r>
    </w:p>
    <w:p>
      <w:pPr>
        <w:pStyle w:val="4"/>
        <w:spacing w:before="200"/>
        <w:ind w:firstLine="540"/>
        <w:jc w:val="both"/>
      </w:pPr>
      <w:r>
        <w:rPr>
          <w:sz w:val="20"/>
        </w:rPr>
        <w:t xml:space="preserve">8. Изменения в перечень налоговых расходов района (поселений) вносятся финансовым органом в течение 30 рабочих дней с даты получения от кураторов налоговых расходов сведений, указанных в </w:t>
      </w:r>
      <w:r>
        <w:fldChar w:fldCharType="begin"/>
      </w:r>
      <w:r>
        <w:instrText xml:space="preserve">HYPERLINK \l"P50"</w:instrText>
      </w:r>
      <w:r>
        <w:fldChar w:fldCharType="separate"/>
      </w:r>
      <w:r>
        <w:rPr>
          <w:color w:val="0000FF"/>
          <w:sz w:val="20"/>
        </w:rPr>
        <w:t>пунктах 6</w:t>
      </w:r>
      <w:r>
        <w:fldChar w:fldCharType="end"/>
      </w:r>
      <w:r>
        <w:rPr>
          <w:sz w:val="20"/>
        </w:rPr>
        <w:t xml:space="preserve"> и </w:t>
      </w:r>
      <w:r>
        <w:fldChar w:fldCharType="begin"/>
      </w:r>
      <w:r>
        <w:instrText xml:space="preserve">HYPERLINK \l"P51"</w:instrText>
      </w:r>
      <w:r>
        <w:fldChar w:fldCharType="separate"/>
      </w:r>
      <w:r>
        <w:rPr>
          <w:color w:val="0000FF"/>
          <w:sz w:val="20"/>
        </w:rPr>
        <w:t>7</w:t>
      </w:r>
      <w:r>
        <w:fldChar w:fldCharType="end"/>
      </w:r>
      <w:r>
        <w:rPr>
          <w:sz w:val="20"/>
        </w:rPr>
        <w:t xml:space="preserve"> настоящего Порядка.</w:t>
      </w: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</w:pPr>
    </w:p>
    <w:p>
      <w:pPr>
        <w:pStyle w:val="4"/>
        <w:sectPr>
          <w:pgSz w:w="16838" w:h="11906" w:orient="landscape"/>
          <w:pgMar w:top="1800" w:right="1440" w:bottom="1800" w:left="1440" w:header="720" w:footer="720" w:gutter="0"/>
          <w:cols w:space="720" w:num="1"/>
          <w:docGrid w:linePitch="360" w:charSpace="0"/>
        </w:sectPr>
      </w:pPr>
    </w:p>
    <w:p>
      <w:pPr>
        <w:pStyle w:val="4"/>
        <w:jc w:val="right"/>
        <w:outlineLvl w:val="1"/>
      </w:pPr>
      <w:bookmarkStart w:id="0" w:name="_GoBack"/>
      <w:bookmarkEnd w:id="0"/>
      <w:r>
        <w:rPr>
          <w:sz w:val="20"/>
        </w:rPr>
        <w:t>Приложение</w:t>
      </w:r>
    </w:p>
    <w:p>
      <w:pPr>
        <w:pStyle w:val="4"/>
        <w:jc w:val="right"/>
      </w:pPr>
      <w:r>
        <w:rPr>
          <w:sz w:val="20"/>
        </w:rPr>
        <w:t>к Порядку</w:t>
      </w:r>
    </w:p>
    <w:p>
      <w:pPr>
        <w:pStyle w:val="4"/>
        <w:jc w:val="right"/>
      </w:pPr>
      <w:r>
        <w:rPr>
          <w:sz w:val="20"/>
        </w:rPr>
        <w:t>формирования перечня налоговых</w:t>
      </w:r>
    </w:p>
    <w:p>
      <w:pPr>
        <w:pStyle w:val="4"/>
        <w:jc w:val="right"/>
      </w:pPr>
      <w:r>
        <w:rPr>
          <w:sz w:val="20"/>
        </w:rPr>
        <w:t>расходов Белоярского района</w:t>
      </w:r>
    </w:p>
    <w:p>
      <w:pPr>
        <w:pStyle w:val="4"/>
        <w:jc w:val="right"/>
      </w:pPr>
      <w:r>
        <w:rPr>
          <w:sz w:val="20"/>
        </w:rPr>
        <w:t>и поселений в границах</w:t>
      </w:r>
    </w:p>
    <w:p>
      <w:pPr>
        <w:pStyle w:val="4"/>
        <w:jc w:val="right"/>
      </w:pPr>
      <w:r>
        <w:rPr>
          <w:sz w:val="20"/>
        </w:rPr>
        <w:t>Белоярского района</w:t>
      </w:r>
    </w:p>
    <w:p>
      <w:pPr>
        <w:pStyle w:val="4"/>
      </w:pPr>
    </w:p>
    <w:p>
      <w:pPr>
        <w:pStyle w:val="4"/>
        <w:jc w:val="center"/>
      </w:pPr>
      <w:r>
        <w:rPr>
          <w:sz w:val="20"/>
        </w:rPr>
        <w:t>ПЕРЕЧЕНЬ</w:t>
      </w:r>
    </w:p>
    <w:p>
      <w:pPr>
        <w:pStyle w:val="4"/>
        <w:jc w:val="center"/>
      </w:pPr>
      <w:r>
        <w:rPr>
          <w:sz w:val="20"/>
        </w:rPr>
        <w:t>налоговых расходов Белоярского района (поселений)</w:t>
      </w:r>
    </w:p>
    <w:p>
      <w:pPr>
        <w:pStyle w:val="4"/>
        <w:jc w:val="center"/>
      </w:pPr>
      <w:r>
        <w:rPr>
          <w:sz w:val="20"/>
        </w:rPr>
        <w:t>на ________ год</w:t>
      </w:r>
    </w:p>
    <w:p>
      <w:pPr>
        <w:pStyle w:val="4"/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1"/>
        <w:gridCol w:w="1413"/>
        <w:gridCol w:w="1701"/>
        <w:gridCol w:w="1559"/>
        <w:gridCol w:w="2154"/>
        <w:gridCol w:w="1985"/>
        <w:gridCol w:w="1701"/>
        <w:gridCol w:w="215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N п/п</w:t>
            </w:r>
          </w:p>
        </w:tc>
        <w:tc>
          <w:tcPr>
            <w:tcW w:w="1413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Наименование налога</w:t>
            </w:r>
          </w:p>
        </w:tc>
        <w:tc>
          <w:tcPr>
            <w:tcW w:w="1701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Реквизиты нормативного правового акта, устанавливающего налоговые расходы (налоговые льготы, освобождения и иные преференции)</w:t>
            </w:r>
          </w:p>
          <w:p>
            <w:pPr>
              <w:pStyle w:val="4"/>
              <w:jc w:val="center"/>
            </w:pPr>
            <w:r>
              <w:rPr>
                <w:sz w:val="20"/>
              </w:rPr>
              <w:t>(с указанием статьи, части, пункта, подпункта, абзаца)</w:t>
            </w:r>
          </w:p>
        </w:tc>
        <w:tc>
          <w:tcPr>
            <w:tcW w:w="1559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154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Наименование муниципальной программы района, наименования нормативных правовых актов, определяющих цели социально-экономической политики района, не относящихся к муниципальным программам района, в целях реализации которых предоставляются налоговые расходы (налоговые льготы, освобождения и иные преференции)</w:t>
            </w:r>
          </w:p>
        </w:tc>
        <w:tc>
          <w:tcPr>
            <w:tcW w:w="1985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Наименование структурного элемента муниципальной программы района, в целях реализации которого предоставляются налоговые расходы (налоговые льготы, освобождения и иные преференции)</w:t>
            </w:r>
          </w:p>
        </w:tc>
        <w:tc>
          <w:tcPr>
            <w:tcW w:w="1701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Цели предоставления налоговых расходов (налоговые льготы, освобождения и иные преференции)</w:t>
            </w:r>
          </w:p>
        </w:tc>
        <w:tc>
          <w:tcPr>
            <w:tcW w:w="2154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Показатели (индикаторы) достижения целей муниципальной программы района и (или) целей социально-экономической политики района, не относящихся к муниципальным программам района, в связи с предоставлением налоговых расходов (налоговые льготы, освобождения и иные преференции) для плательщиков налогов</w:t>
            </w:r>
          </w:p>
        </w:tc>
        <w:tc>
          <w:tcPr>
            <w:tcW w:w="1418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Куратор налогового расхода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3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559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2154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985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2154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418" w:type="dxa"/>
          </w:tcPr>
          <w:p>
            <w:pPr>
              <w:pStyle w:val="4"/>
              <w:jc w:val="center"/>
            </w:pPr>
            <w:r>
              <w:rPr>
                <w:sz w:val="20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</w:tcPr>
          <w:p>
            <w:pPr>
              <w:pStyle w:val="4"/>
              <w:jc w:val="center"/>
            </w:pPr>
          </w:p>
        </w:tc>
        <w:tc>
          <w:tcPr>
            <w:tcW w:w="1413" w:type="dxa"/>
          </w:tcPr>
          <w:p>
            <w:pPr>
              <w:pStyle w:val="4"/>
              <w:jc w:val="center"/>
            </w:pPr>
          </w:p>
        </w:tc>
        <w:tc>
          <w:tcPr>
            <w:tcW w:w="1701" w:type="dxa"/>
          </w:tcPr>
          <w:p>
            <w:pPr>
              <w:pStyle w:val="4"/>
              <w:jc w:val="center"/>
            </w:pPr>
          </w:p>
        </w:tc>
        <w:tc>
          <w:tcPr>
            <w:tcW w:w="1559" w:type="dxa"/>
          </w:tcPr>
          <w:p>
            <w:pPr>
              <w:pStyle w:val="4"/>
              <w:jc w:val="center"/>
            </w:pPr>
          </w:p>
        </w:tc>
        <w:tc>
          <w:tcPr>
            <w:tcW w:w="2154" w:type="dxa"/>
          </w:tcPr>
          <w:p>
            <w:pPr>
              <w:pStyle w:val="4"/>
              <w:jc w:val="center"/>
            </w:pPr>
          </w:p>
        </w:tc>
        <w:tc>
          <w:tcPr>
            <w:tcW w:w="1985" w:type="dxa"/>
          </w:tcPr>
          <w:p>
            <w:pPr>
              <w:pStyle w:val="4"/>
              <w:jc w:val="center"/>
            </w:pPr>
          </w:p>
        </w:tc>
        <w:tc>
          <w:tcPr>
            <w:tcW w:w="1701" w:type="dxa"/>
          </w:tcPr>
          <w:p>
            <w:pPr>
              <w:pStyle w:val="4"/>
              <w:jc w:val="center"/>
            </w:pPr>
          </w:p>
        </w:tc>
        <w:tc>
          <w:tcPr>
            <w:tcW w:w="2154" w:type="dxa"/>
          </w:tcPr>
          <w:p>
            <w:pPr>
              <w:pStyle w:val="4"/>
              <w:jc w:val="center"/>
            </w:pPr>
          </w:p>
        </w:tc>
        <w:tc>
          <w:tcPr>
            <w:tcW w:w="1418" w:type="dxa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1" w:type="dxa"/>
          </w:tcPr>
          <w:p>
            <w:pPr>
              <w:pStyle w:val="4"/>
              <w:jc w:val="center"/>
            </w:pPr>
          </w:p>
        </w:tc>
        <w:tc>
          <w:tcPr>
            <w:tcW w:w="1413" w:type="dxa"/>
          </w:tcPr>
          <w:p>
            <w:pPr>
              <w:pStyle w:val="4"/>
              <w:jc w:val="center"/>
            </w:pPr>
          </w:p>
        </w:tc>
        <w:tc>
          <w:tcPr>
            <w:tcW w:w="1701" w:type="dxa"/>
          </w:tcPr>
          <w:p>
            <w:pPr>
              <w:pStyle w:val="4"/>
              <w:jc w:val="center"/>
            </w:pPr>
          </w:p>
        </w:tc>
        <w:tc>
          <w:tcPr>
            <w:tcW w:w="1559" w:type="dxa"/>
          </w:tcPr>
          <w:p>
            <w:pPr>
              <w:pStyle w:val="4"/>
              <w:jc w:val="center"/>
            </w:pPr>
          </w:p>
        </w:tc>
        <w:tc>
          <w:tcPr>
            <w:tcW w:w="2154" w:type="dxa"/>
          </w:tcPr>
          <w:p>
            <w:pPr>
              <w:pStyle w:val="4"/>
              <w:jc w:val="center"/>
            </w:pPr>
          </w:p>
        </w:tc>
        <w:tc>
          <w:tcPr>
            <w:tcW w:w="1985" w:type="dxa"/>
          </w:tcPr>
          <w:p>
            <w:pPr>
              <w:pStyle w:val="4"/>
              <w:jc w:val="center"/>
            </w:pPr>
          </w:p>
        </w:tc>
        <w:tc>
          <w:tcPr>
            <w:tcW w:w="1701" w:type="dxa"/>
          </w:tcPr>
          <w:p>
            <w:pPr>
              <w:pStyle w:val="4"/>
              <w:jc w:val="center"/>
            </w:pPr>
          </w:p>
        </w:tc>
        <w:tc>
          <w:tcPr>
            <w:tcW w:w="2154" w:type="dxa"/>
          </w:tcPr>
          <w:p>
            <w:pPr>
              <w:pStyle w:val="4"/>
              <w:jc w:val="center"/>
            </w:pPr>
          </w:p>
        </w:tc>
        <w:tc>
          <w:tcPr>
            <w:tcW w:w="1418" w:type="dxa"/>
          </w:tcPr>
          <w:p>
            <w:pPr>
              <w:pStyle w:val="4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01" w:type="dxa"/>
          </w:tcPr>
          <w:p>
            <w:pPr>
              <w:pStyle w:val="4"/>
              <w:jc w:val="center"/>
            </w:pPr>
          </w:p>
        </w:tc>
        <w:tc>
          <w:tcPr>
            <w:tcW w:w="1413" w:type="dxa"/>
          </w:tcPr>
          <w:p>
            <w:pPr>
              <w:pStyle w:val="4"/>
              <w:jc w:val="center"/>
            </w:pPr>
          </w:p>
        </w:tc>
        <w:tc>
          <w:tcPr>
            <w:tcW w:w="1701" w:type="dxa"/>
          </w:tcPr>
          <w:p>
            <w:pPr>
              <w:pStyle w:val="4"/>
              <w:jc w:val="center"/>
            </w:pPr>
          </w:p>
        </w:tc>
        <w:tc>
          <w:tcPr>
            <w:tcW w:w="1559" w:type="dxa"/>
          </w:tcPr>
          <w:p>
            <w:pPr>
              <w:pStyle w:val="4"/>
              <w:jc w:val="center"/>
            </w:pPr>
          </w:p>
        </w:tc>
        <w:tc>
          <w:tcPr>
            <w:tcW w:w="2154" w:type="dxa"/>
          </w:tcPr>
          <w:p>
            <w:pPr>
              <w:pStyle w:val="4"/>
              <w:jc w:val="center"/>
            </w:pPr>
          </w:p>
        </w:tc>
        <w:tc>
          <w:tcPr>
            <w:tcW w:w="1985" w:type="dxa"/>
          </w:tcPr>
          <w:p>
            <w:pPr>
              <w:pStyle w:val="4"/>
              <w:jc w:val="center"/>
            </w:pPr>
          </w:p>
        </w:tc>
        <w:tc>
          <w:tcPr>
            <w:tcW w:w="1701" w:type="dxa"/>
          </w:tcPr>
          <w:p>
            <w:pPr>
              <w:pStyle w:val="4"/>
              <w:jc w:val="center"/>
            </w:pPr>
          </w:p>
        </w:tc>
        <w:tc>
          <w:tcPr>
            <w:tcW w:w="2154" w:type="dxa"/>
          </w:tcPr>
          <w:p>
            <w:pPr>
              <w:pStyle w:val="4"/>
              <w:jc w:val="center"/>
            </w:pPr>
          </w:p>
        </w:tc>
        <w:tc>
          <w:tcPr>
            <w:tcW w:w="1418" w:type="dxa"/>
          </w:tcPr>
          <w:p>
            <w:pPr>
              <w:pStyle w:val="4"/>
              <w:jc w:val="center"/>
            </w:pPr>
          </w:p>
        </w:tc>
      </w:tr>
    </w:tbl>
    <w:p>
      <w:pPr>
        <w:pStyle w:val="4"/>
        <w:ind w:firstLine="540"/>
        <w:jc w:val="both"/>
      </w:pPr>
    </w:p>
    <w:p>
      <w:pPr>
        <w:pStyle w:val="4"/>
        <w:ind w:firstLine="540"/>
        <w:jc w:val="both"/>
      </w:pPr>
    </w:p>
    <w:p>
      <w:pPr>
        <w:pStyle w:val="4"/>
        <w:pBdr>
          <w:top w:val="single" w:color="auto" w:sz="6" w:space="0"/>
        </w:pBdr>
        <w:spacing w:before="100" w:after="100"/>
        <w:jc w:val="both"/>
        <w:rPr>
          <w:sz w:val="2"/>
          <w:szCs w:val="2"/>
        </w:rPr>
      </w:pPr>
    </w:p>
    <w:p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noPunctuationKerning w:val="1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31EB5"/>
    <w:rsid w:val="0AB3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</w:pPr>
    <w:rPr>
      <w:rFonts w:ascii="Calibri" w:hAnsi="Calibri" w:cs="Calibri"/>
      <w:sz w:val="20"/>
    </w:rPr>
  </w:style>
  <w:style w:type="paragraph" w:customStyle="1" w:styleId="5">
    <w:name w:val="ConsPlusNonformat"/>
    <w:uiPriority w:val="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6">
    <w:name w:val="ConsPlusTitle"/>
    <w:uiPriority w:val="0"/>
    <w:pPr>
      <w:widowControl w:val="0"/>
      <w:autoSpaceDE w:val="0"/>
      <w:autoSpaceDN w:val="0"/>
    </w:pPr>
    <w:rPr>
      <w:rFonts w:ascii="Calibri" w:hAnsi="Calibri" w:cs="Calibri"/>
      <w:b/>
      <w:sz w:val="20"/>
    </w:rPr>
  </w:style>
  <w:style w:type="paragraph" w:customStyle="1" w:styleId="7">
    <w:name w:val="ConsPlusCell"/>
    <w:uiPriority w:val="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8">
    <w:name w:val="ConsPlusDocList"/>
    <w:uiPriority w:val="0"/>
    <w:pPr>
      <w:widowControl w:val="0"/>
      <w:autoSpaceDE w:val="0"/>
      <w:autoSpaceDN w:val="0"/>
    </w:pPr>
    <w:rPr>
      <w:rFonts w:ascii="Calibri" w:hAnsi="Calibri" w:cs="Calibri"/>
      <w:sz w:val="20"/>
    </w:rPr>
  </w:style>
  <w:style w:type="paragraph" w:customStyle="1" w:styleId="9">
    <w:name w:val="ConsPlusTitlePage"/>
    <w:uiPriority w:val="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10">
    <w:name w:val="ConsPlusJurTerm"/>
    <w:uiPriority w:val="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11">
    <w:name w:val="ConsPlusTextList"/>
    <w:uiPriority w:val="0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КонсультантПлюс Версия 4021.00.31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1899-12-29T19:00:00Z</dcterms:created>
  <dc:creator>OrlovaON</dc:creator>
  <cp:lastModifiedBy>OrlovaON</cp:lastModifiedBy>
  <dcterms:modified xsi:type="dcterms:W3CDTF">2021-11-15T12:24:36Z</dcterms:modified>
  <dc:title>Постановление Администрации Белоярского района от 23.06.2020 N 550
(ред. от 08.06.2021)
"Об утверждении Порядка формирования перечня налоговых расходов Белоярского района и поселений в границах Белоярского района"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F52E46D4CEFC4BA7A071483B4A2DCBA8</vt:lpwstr>
  </property>
</Properties>
</file>