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GoBack"/>
      <w:bookmarkEnd w:id="17"/>
      <w:bookmarkStart w:id="0" w:name="_Hlk10659420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ежегодном конкурсе лучших образовательных практик в целях поощрения повышения компетенций граждан, занятых в туристской индустрии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и проведения ежегодного конкурса лучших образовательных практик в целях поощрения повышения компетенций граждан, занятых в туристской индустрии в 2022 году (далее Конкурс).</w:t>
      </w:r>
    </w:p>
    <w:p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Организатор конкурса – Федеральное агентство по туризму.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рамках реализации задач, изложенных в следующих нормативных документах: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Федеральном агентстве по туризму п.5.3.1 (4), (Постановление Правительства РФ от 31 декабря 2004 г. N 901 с изменениями и дополнениями);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развития туризма в Российской Федерации на период до 2035 года (Распоряжение Правительства РФ от 20 сентября 2019 г. № 2129-р);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туризма» (Постановление Правительства РФ от 24 декабря 2021 г. № 2439);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 «Туризм и индустрия гостеприимства» (Утвержден Ростуризмом в редакции от 10.11.2021).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Основные понятия, применяемые в настоящем Положении.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Образовательные практики – совокупность результирующих материалов и документов, обеспечивающих эффективную реализацию и достижение планируемых образовательных результатов обучающихся, в том числе в условиях образовательных проектов, реализующихся с участием наставников и новых форм наставничества.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Содержание образовательной практики может включать описание использования электронных средств обучения и дистанционных образовательных технологий.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Наставничество является важной составляющей практикоориентированной подготовки кадров для сферы туризма.</w:t>
      </w:r>
    </w:p>
    <w:p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Конкурса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 Конкурса: создание условий для выявления и продвижения эффективных образовательных практик по обновлению содержания и технологий образования в сфере туризма для широкого распространения.</w:t>
      </w:r>
    </w:p>
    <w:p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Задачи: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экспертиза, обобщение и трансляция эффективных образовательных практик;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вариативности содержания и технологий образовательных практик, качества и доступности образовательных программ и образовательных проектов;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профессиональных методических компетенций участников Конкурса;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контентное наполнение </w:t>
      </w:r>
      <w:bookmarkStart w:id="1" w:name="_Hlk108806484"/>
      <w:r>
        <w:rPr>
          <w:rFonts w:ascii="Times New Roman" w:hAnsi="Times New Roman" w:cs="Times New Roman"/>
          <w:sz w:val="28"/>
          <w:szCs w:val="28"/>
        </w:rPr>
        <w:t>систем дистанционного образования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в сфере туризма;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полноценной экосреды наставничества в туризме;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распространение опыта лучших наставников по отдельным направлениям и видам туризма.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Этапы и сроки проведения Конкурса 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два этапа: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Первый этап – полуфинал: с 1 августа </w:t>
      </w:r>
      <w:bookmarkStart w:id="2" w:name="_Hlk106532159"/>
      <w:r>
        <w:rPr>
          <w:rFonts w:ascii="Times New Roman" w:hAnsi="Times New Roman" w:cs="Times New Roman"/>
          <w:sz w:val="28"/>
          <w:szCs w:val="28"/>
        </w:rPr>
        <w:t xml:space="preserve">до 30 сентября 2022 года. </w:t>
      </w:r>
    </w:p>
    <w:bookmarkEnd w:id="2"/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Второй этап –  финал и церемония награждения: до 30 ноября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2022 г.</w:t>
      </w:r>
    </w:p>
    <w:p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Рабочая группа Конкурса формируется для обеспечения организации и его проведения.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Экспертная группа Конкурса осуществляет экспертную оценку конкурсных материалов в соответствии с критериями оценки, определяет победителей по каждой номинации на каждом этапе Конкурса. Требования к Экспертам (эксперт должен соответствовать не менее 1 из следующих критериев):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опыт работы в сфере гостеприимства и туризма и/или образования не менее 3 лет;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в сфере туризма и сферы гостеприимства и/или образования;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представители органов власти субъектов Российской Федерации и органов местного самоуправления, отвечающие за вопросы стратегического развития регионов, туризма, развитие сферы гостеприимства и/или подготовки кадров;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представители сферы образования.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Участники Конкурса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Конкурсе принимают участие: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Участники сферы образования образовательных организаций реализующие образовательные практики по следующим основным образовательным программам: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профессиональное обучение;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среднее профессиональное образование;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высшее образование (бакалавриат, магистратура и др.);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дополнительные общеразвивающие программы;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профессиональные программы (программы повышения квалификации, программы профессиональной переподготовки).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Участники всех отраслей и видов деятельности сферы туризма, являющиеся наставниками.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к трудовому стажу участников Конкурса настоящим Положением не устанавливается.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Участие в Конкурсе может быть персональное и командное, заявительное как от физических лиц, так и от юридических лиц, включая участие коллективов образовательных организаций, в том числе в рамках сетевого взаимодействия.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Номинации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образовательных практик проводится по следующим номинациям: </w:t>
      </w:r>
    </w:p>
    <w:p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108795848"/>
      <w:r>
        <w:rPr>
          <w:rFonts w:ascii="Times New Roman" w:hAnsi="Times New Roman" w:cs="Times New Roman"/>
          <w:i/>
          <w:sz w:val="28"/>
          <w:szCs w:val="28"/>
        </w:rPr>
        <w:t>Лучшие образовательные практики в области разработки и реализации образовательных программ по направлению «Сервис и туризм» в сфере высшего образования.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высшего образования, которые осуществляют подготовку кадров для туристской индустрии по всем уровням образования (бакалавриата, магистратуре и др.) в рамках направления «Сервис и туризм», </w:t>
      </w:r>
      <w:bookmarkStart w:id="4" w:name="_Hlk108683419"/>
      <w:r>
        <w:rPr>
          <w:rFonts w:ascii="Times New Roman" w:hAnsi="Times New Roman" w:cs="Times New Roman"/>
          <w:sz w:val="28"/>
          <w:szCs w:val="28"/>
        </w:rPr>
        <w:t>а также отдельные авторы и авторские коллективы.</w:t>
      </w:r>
      <w:bookmarkEnd w:id="4"/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конкурсные материалы по данной номинации включается концепция образовательной программы, примерная структура которой представлена ниже: 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образовательной программы;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уникальность и новизна </w:t>
      </w:r>
      <w:bookmarkStart w:id="5" w:name="_Hlk108795709"/>
      <w:r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bookmarkEnd w:id="5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логика построения образовательной программы (наполнение образовательной программы, распределение дисциплин и практик в ходе реализации образовательной программы);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и инструменты реализации образовательной программы</w:t>
      </w:r>
      <w:bookmarkStart w:id="6" w:name="_Hlk108806526"/>
      <w:r>
        <w:rPr>
          <w:rFonts w:ascii="Times New Roman" w:hAnsi="Times New Roman" w:cs="Times New Roman"/>
          <w:sz w:val="28"/>
          <w:szCs w:val="28"/>
        </w:rPr>
        <w:t>, в том числе цифровые и дистанционные технологии;</w:t>
      </w:r>
    </w:p>
    <w:bookmarkEnd w:id="6"/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 образовательной программы;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 образовательной программы;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(характеристики образовательной программы, учебные планы и т.п.).</w:t>
      </w:r>
    </w:p>
    <w:bookmarkEnd w:id="3"/>
    <w:p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Лучшие образовательные практики в области разработки и реализации образовательных программ по направлению «Сервис и туризм» в сфере среднего профессионального образования.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среднего профессионального образования, которые осуществляют подготовку кадров для туристской индустрии в рамках УГПС 43.00.00, а также отдельные авторы и авторские коллективы.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08804059"/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конкурсные материалы по данной номинации включается концепция образовательной программы, примерная структура которой представлена ниже: </w:t>
      </w:r>
    </w:p>
    <w:bookmarkEnd w:id="7"/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образовательной программы;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уникальность и новизна образовательной программы;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логика построения образовательной программы (наполнение образовательной программы, распределение дисциплин и практик в ходе реализации образовательной программы);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и инструменты реализации образовательной программы, в том числе цифровые и дистанционные технологии;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материально-техническое обеспечение образовательной программы;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8" w:name="_Hlk108804567"/>
      <w:r>
        <w:rPr>
          <w:rFonts w:ascii="Times New Roman" w:hAnsi="Times New Roman" w:cs="Times New Roman"/>
          <w:sz w:val="28"/>
          <w:szCs w:val="28"/>
        </w:rPr>
        <w:t>кадровое обеспечение образовательной программы;</w:t>
      </w:r>
      <w:bookmarkEnd w:id="8"/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 (характеристики образовательной программы, учебные планы и т.п.)</w:t>
      </w:r>
    </w:p>
    <w:p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Лучшие образовательные практики в области разработки и реализации авторских курсов с применением современных образовательных технологий (рабочих программ дисциплин, программ практик, дополнительных профессиональных программ, программ переподготовки и др.), реализуемых образовательными организациями в процессе подготовки кадров для туристской индустрии. 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высшего образования, среднего профессионального образования, дополнительного образования и дополнительного профессионального образования, реализующие  программы в сфере туризма и гостеприимства, а также отдельные авторы и авторские коллективы.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конкурсные материалы по данной номинации включается концепция образовательной практики, примерная структура которой представлена ниже: 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курса;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уникальность и новизна курса, обоснование его места и связи с другими дисциплинами, включенными в образовательную программу;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9" w:name="_Hlk108804489"/>
      <w:r>
        <w:rPr>
          <w:rFonts w:ascii="Times New Roman" w:hAnsi="Times New Roman" w:cs="Times New Roman"/>
          <w:sz w:val="28"/>
          <w:szCs w:val="28"/>
        </w:rPr>
        <w:t>инструменты и технологии реализации курса, в том числе цифровые и дистанционные технологии;</w:t>
      </w:r>
    </w:p>
    <w:bookmarkEnd w:id="9"/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курса; 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 курса;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рабочая программа (курса, дисциплины, практики и т.п.);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документы.</w:t>
      </w:r>
    </w:p>
    <w:p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образовательные практики, </w:t>
      </w:r>
      <w:bookmarkStart w:id="10" w:name="_Hlk109028449"/>
      <w:r>
        <w:rPr>
          <w:rFonts w:ascii="Times New Roman" w:hAnsi="Times New Roman" w:cs="Times New Roman"/>
          <w:sz w:val="28"/>
          <w:szCs w:val="28"/>
        </w:rPr>
        <w:t xml:space="preserve">разработанные и реализованные </w:t>
      </w:r>
      <w:bookmarkStart w:id="11" w:name="_Hlk108804995"/>
      <w:r>
        <w:rPr>
          <w:rFonts w:ascii="Times New Roman" w:hAnsi="Times New Roman" w:cs="Times New Roman"/>
          <w:sz w:val="28"/>
          <w:szCs w:val="28"/>
        </w:rPr>
        <w:t xml:space="preserve">организациями сферы туризма и гостеприимства </w:t>
      </w:r>
      <w:bookmarkEnd w:id="11"/>
      <w:r>
        <w:rPr>
          <w:rFonts w:ascii="Times New Roman" w:hAnsi="Times New Roman" w:cs="Times New Roman"/>
          <w:sz w:val="28"/>
          <w:szCs w:val="28"/>
        </w:rPr>
        <w:t>на условиях наставничества (менторства).</w:t>
      </w:r>
    </w:p>
    <w:bookmarkEnd w:id="10"/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любые организации, работающие в сфере туризма и гостеприимства, а также отдельные авторы и авторские коллективы.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Hlk108804374"/>
      <w:r>
        <w:rPr>
          <w:rFonts w:ascii="Times New Roman" w:hAnsi="Times New Roman" w:cs="Times New Roman"/>
          <w:b/>
          <w:bCs/>
          <w:sz w:val="28"/>
          <w:szCs w:val="28"/>
        </w:rPr>
        <w:t>В конкурсные материалы по данной номинации включается концепция образовательной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которой представлена ниже:</w:t>
      </w:r>
    </w:p>
    <w:bookmarkEnd w:id="12"/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задачи, которые ставит перед собой организациями сферы туризма и гостеприимства при реализации системы наставничества (менторства);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 системы наставничества (менторства);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 мер, которые реализованы в организации для обеспечения качественной работы наставников;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применяемые наставниками инструменты и технологии (лучшие кейсы);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обучения наставников;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системы наставничества (лучшие кейсы).</w:t>
      </w:r>
    </w:p>
    <w:p>
      <w:pPr>
        <w:pStyle w:val="11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Лучшие образовательные практики в области взаимодействия </w:t>
      </w:r>
      <w:bookmarkStart w:id="13" w:name="_Hlk108804417"/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образовательной организации с организациями туристской индустрии </w:t>
      </w:r>
      <w:bookmarkEnd w:id="13"/>
      <w:r>
        <w:rPr>
          <w:rFonts w:ascii="Times New Roman" w:hAnsi="Times New Roman" w:cs="Times New Roman"/>
          <w:i/>
          <w:sz w:val="28"/>
          <w:szCs w:val="28"/>
        </w:rPr>
        <w:t>в процессе подготовки кадров.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организации,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обучение,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осуществляющие образовательную деятельность, в том числе индивидуальные предприниматели, осуществляющие образовательную деятельность.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номинации участвуют все указанные типы организаций, в том случае, если они ведут образовательную деятельность и обучение в сфере туризма и гостеприимства и имеют совместные образовательные практики с организациями инфраструктуры туризма.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конкурсные материалы по данной номинации включается концепция образовательной практики, </w:t>
      </w:r>
      <w:bookmarkStart w:id="14" w:name="_Hlk108804655"/>
      <w:r>
        <w:rPr>
          <w:rFonts w:ascii="Times New Roman" w:hAnsi="Times New Roman" w:cs="Times New Roman"/>
          <w:b/>
          <w:bCs/>
          <w:sz w:val="28"/>
          <w:szCs w:val="28"/>
        </w:rPr>
        <w:t>примерная структура которой представлена ниже:</w:t>
      </w:r>
      <w:bookmarkEnd w:id="14"/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цель и задачи взаимодействия образовательной организации с </w:t>
      </w:r>
      <w:bookmarkStart w:id="15" w:name="_Hlk108804611"/>
      <w:r>
        <w:rPr>
          <w:rFonts w:ascii="Times New Roman" w:hAnsi="Times New Roman" w:cs="Times New Roman"/>
          <w:sz w:val="28"/>
          <w:szCs w:val="28"/>
        </w:rPr>
        <w:t>организациями туристской индустрии;</w:t>
      </w:r>
    </w:p>
    <w:bookmarkEnd w:id="15"/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сотрудничества образовательной организации с организациями туристской индустрии;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применяемые инструменты и технологии взаимодействия, в том числе цифровые и дистанционные технологии;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уникальности материально-технической базы, созданной в результате взаимодействия;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кадровое обеспечение взаимодействия, в том числе с указанием роли сотрудников предприятий туристской индустрии;</w:t>
      </w:r>
    </w:p>
    <w:p>
      <w:pPr>
        <w:pStyle w:val="1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эффективность взаимодействия (лучшие кейсы).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Порядок проведения Конкурса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Участие в Конкурсе бесплатное.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Выдвижение образовательной практики от участника Конкурса возможно только в одну из номинаций Конкурса.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Регистрация участников и проведение этапов Конкурса осуществляется на сайте Конкурса.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Заявки и конкурсные работы участников должны быть оформлены в соответствии с инструкциями, размещенными на сайте Конкурса. Фактом подачи заявки и конкурсных работ участники Конкурса гарантируют, что им принадлежат исключительные права на данные материалы. Участники Конкурса обязаны обеспечить соблюдение авторских прав третьих лиц при использовании их разработок в составе конкурсных материалов. Фактом подачи заявки и конкурсных материалов участники предоставляют Оператору Конкурса 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Федерации, на территории Российской Федерации и всех стран мира в течение 10 лет.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Первый этап - полуфинал: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 период с 1 августа до 30 сентября (23 часа 59 минут) 2022 года размещают полный комплект документов на сайте Конкурса: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на участие в Конкурсе;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данных;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конкурсные материалы (общие сведения, согласно Приложению № 1, титульный лист и концепция образовательной практики, согласно Приложению № 2).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практика подтверждается фактами внешней оценки профессионально-общественного признания в форме, выбранной конкурсантом (отзывы, рецензии, результаты опроса или анкетирования обучающихся, или их законных представителей, цифровые следы, подтверждающие общественное признание).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Требования к конкурсным материалам. Образовательные практики оформляются в формате Word. Объем материала – не более 30 страниц (за исключением изданных сборников в формате pdf); шрифт – 14 кегль, интервал – 1,0, все поля по 2 см, нумерация страниц – внизу, по центру.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Предусмотрено включение ссылок на подтверждающие документы, видео/фотоматериалы объемом не более 500 Mб.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конкурсные материалы к образовательной практике могут быть расположены на бесплатных общедоступных облачных хостингах (например, яндекс.диск, облако.мэйл.ру и др.) или видеохостингах. Ссылка на дополнительные конкурсные материалы к образовательной практике, размещенные на облачном хостинге или видеохостинге, должна быть доступна для скачивания для всех до 31 декабря 2022 года.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практики и все сопровождающие документы должны быть выполнены на государственном языке Российской Федерации – на русском языке.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До 30 сентября 2022 г. экспертная группа Конкурса осуществляет экспертизу работ. На финальный этап выходит не более 40 работ, согласно сводной рейтинговой таблице оценок экспертной группы.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Финальный этап. Проводится в Республике Татарстан, г. Казань.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Конкурса, прошедшие в финальный этап, защищают образовательную практику в формате публичной презентации. По результатам презентации выбирается первое, второе и третье место в каждой номинации.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Критерии оценивания заявок по номинациям</w:t>
      </w:r>
    </w:p>
    <w:p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Лучшие образовательные практики в области разработки и реализации образовательных программ по направлению «Сервис и туризм» в сфере высшего образования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214"/>
        <w:gridCol w:w="120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2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Выставленный экспертом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программы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программы  не представлена или не соответствует правилам конкурса.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образовательной программы соответствует правилам конкурса, но не сконцентрирована на результатах реализации образовательной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программы соответствует правилам конкурса и содержит указание на результаты ее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образовательной программы  не представлена или не содержит уникальных идей, технологий и инструментов реализации, построение программы не логично.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уникальность образовательной программы, но конкурентные отличия не выделены, заявлены повсеместно используемые практики реализации образовательной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уникальность образовательной программы, определяющая ее отличия и высокую конкурентоспособность. 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образовательной программы не представлена или не содержит новых, концептуальных идей и подходов к ее реализации.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новизна образовательной программы,  в качестве которой заявлены распространенные подходы и инструменты ее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высокая степень новизны образовательной программы (в области разработки, построения, реализации, и т.п.), определяющая ее привлекательность для потенциальных потребителей.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построения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образовательной программы не представлена или не содержит убедительного обоснования.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недостаточно убедительная (спорная, вызывающая сомнения) логика построения образовательной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логика построения образовательной программы  и связка всех элементов (разделов) образовательной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логика построения образовательной программы  и связка всех элементов (разделов) образовательной программы, включая распределение дисциплин и практик.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логика построения образовательной программы и связка всех элементов (разделов) образовательной программы, включая распределение дисциплин и практик с привязкой к временным промежуткам их освоения в ходе реализации образовательной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логика построения образовательной программы и связка всех элементов (разделов) образовательной программы, включая распределение дисциплин и практик с привязкой к временным промежуткам их освоения в ходе реализации образовательной программы; представлено видение дальнейшего совершенствования образовательной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образовательной программы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образовательной программы не представлены.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технологии реализации образовательной программы,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и обоснованы технологии реализации образовательной программы, оказывающие положительное влияние на качество подготовки квалифицированных кадров для сферы туризма и гостеприимства.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реализации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реализации образовательной программы  не представлены.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инструменты, используемые в реализации образовательной программы,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 обоснованы инструменты реализации образовательной программы, оказывающие положительное влияние на качество подготовки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образовательной программы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материально-технического оснащения образовательной программы  не представлена и/или не обоснована.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обеспечения образовательной программы, однако она не содержит указаний на наличие 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обеспечения образовательной программы, свидетельствующая о наличии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материально-технического обеспечения образовательной программы, свидетельствующая о наличии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гостеприимства, и привязку оснащения к дисциплинам профессиональной направленности.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образовательной программы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кадрового обеспечения образовательной программы  не представлена.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образовательной программы  в виде первичной информации о коллективе (ФИО, должность, звания и т.п.).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характеристика кадрового обеспечения образовательной программы, содержащая информацию об уникальных компетенциях ППС, привлеченного к реализации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кадрового обеспечения образовательной программы, содержащая информацию об уникальных компетенциях ППС, привлеченного к реализации программы и отражающая их персональный вклад в разработку и реализацию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- 21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Лучшие образовательные практики в области разработки и реализации образовательных программ по направлению «Сервис и туризм» в сфере среднего профессионального образования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214"/>
        <w:gridCol w:w="120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2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Выставленный экспертом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программы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программы  не представлена или не соответствует правилам конкурса.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образовательной программы соответствует правилам конкурса, но не сконцентрирована на результатах реализации образовательной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программы  соответствует правилам конкурса и содержит указание на результаты ее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образовательной программы  не представлена или не содержит уникальных идей, технологий и инструментов реализации, построение программы не логично.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уникальность образовательной программы, но конкурентные отличия не выделены, заявлены повсеместно используемые практики реализации образовательной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уникальность образовательной программы, определяющая ее отличия и высокую конкурентоспособность. 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образовательной программы не представлена или не содержит новых, концептуальных идей и подходов к ее реализации.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новизна образовательной программы в качестве которой заявлены распространенные подходы и инструменты ее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высокая степень новизны образовательной программы  (в области разработки, построения, реализации и т.п.), определяющая ее привлекательность для потенциальных потребителей.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образовательной программы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построения образовательной программы не представлена или не содержит убедительного обоснования.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недостаточно убедительная (спорная, вызывающая сомнения) логика построения образовательной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логика построения образовательной программы  и связка всех элементов (разделов) образовательной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логика построения образовательной программы  и связка всех элементов (разделов) образовательной программы, включая распределение дисциплин и практик.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логика построения образовательной программы  и связка всех элементов (разделов) образовательной программ, включая распределение дисциплин и практик с привязкой к временным промежуткам их освоения в ходе реализации образовательной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логика построения образовательной программы  и связка всех элементов (разделов) образовательной программы, включая распределение дисциплин и практик с привязкой к временным промежуткам их освоения в ходе реализации образовательной программы; представлено видение  дальнейшего совершенствования образовательной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реализации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образовательной программы не представлены.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технологии реализации образовательной программы,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и обоснованы технологии реализации образовательной программы, оказывающие положительное влияние на качество подготовки квалифицированных кадров для сферы туризма и гостеприимства.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реализации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реализации образовательной программы  не представлены.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инструменты, используемые в реализации образовательной программы,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 обоснованы инструменты реализации образовательной программы, оказывающие положительное влияние на качество подготовки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материально-технического оснащения образовательной программы не представлена и/или не обоснована.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обеспечения образовательной программы, однако она не содержит указаний на наличие 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обеспечения образовательной программы, свидетельствующая о наличии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материально-технического обеспечения образовательной программы, свидетельствующая о наличии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гостеприимства, и привязку оснащения к дисциплинам профессиональной направленности.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 образовательной программы 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кадрового обеспечения образовательной программы  не представлена.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образовательной программы  в виде первичной информации о коллективе (ФИО, должность, звания и т.п.).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характеристика кадрового обеспечения образовательной программы  , содержащая информацию об уникальных компетенциях ППС, привлеченного к реализации программы.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кадрового обеспечения образовательной программы, содержащая информацию об уникальных компетенциях ППС, привлеченного к реализации программы и отражающая их персональный вклад в разработку и реализацию программы.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- 21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Лучшие образовательные практики в области разработки и реализации авторских курсов с применением современных образовательных технологий (рабочих программ дисциплин, программ практик, дополнительных профессиональных программ, программ переподготовки и др.), реализуемых образовательными организациями в процессе подготовки кадров для  туристской индустрии.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4214"/>
        <w:gridCol w:w="120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21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Выставленный экспертом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курса не представлена или не соответствует правилам конкурса.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курса соответствует правилам конкурса, но не сконцентрирована на результатах реализации курса.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соответствует правилам конкурса и содержит указание на результаты ее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курса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курса не представлена или не содержит уникальных идей, технологий и инструментов реализации, построение программы не логично.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уникальность курса, но конкурентные отличия не выделены.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и обоснована уникальность курса, определяющая ее отличия и высокую конкурентоспособность. 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курса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курса не представлена или не содержит новых, концептуальных идей и подходов к ее реализации.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новизна курса в качестве которой заявлены распространенные подходы и инструменты ее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и обоснована высокая степень новизны курса (в области разработки, построения, реализации, МТО  и т.п.), определяющая ее привлекательность для потенциальных потребителей.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курса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реализации курса не представлены.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технологии реализации курса,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и обоснованы технологии реализации курса, оказывающие положительное влияние на качество подготовки квалифицированных кадров для сферы туризма и гостеприимства.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реализации курса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реализации курса не представлены.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инструменты, используемые в реализации курса,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 обоснованы инструменты реализации курса, оказывающие положительное влияние на качество подготовки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курса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материально-технического обеспечения курса не представлена и/или не обоснована.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обеспечение  курса, однако она не содержит указаний на наличие 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обеспечение курса, свидетельствующая о наличии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материально-технического обеспечение курса, свидетельствующая о наличии специализированных (профильных) аудиторий, инструментов, программных комплексов и иных решений, способствующих подготовке квалифицированных кадров для сферы туризма и гостеприимства, и привязку оснащения к дисциплинам профессиональной направленности.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ОП</w:t>
            </w: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кадрового обеспечения курса не представлена.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курса в виде первичной информации (ФИО, должность, звания и т.п.).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характеристика кадрового обеспечения курса, содержащая информацию об уникальных компетенциях ППС, привлеченного к его реализации.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204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кадрового обеспечения курса, содержащая информацию об уникальных компетенциях ППС, привлеченного к его реализации и отражающая их персональный вклад в разработку и реализацию курса. 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Лучшие образовательные практики,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разработанные и реализованные организациями сферы туризма и гостеприимства на условиях наставничества (менторства).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4302"/>
        <w:gridCol w:w="109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Выставленный экспертом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в области наставничества </w:t>
            </w: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наставничества не представлена или не соответствует правилам конкурса.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наставничества представлены, но не сконцентрированы на результатах деятельности организации. 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 наставничества представлены и содержит указание на результаты  реализации системы наставничества и на цели деятельности организации.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наставничества</w:t>
            </w: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наставничества не представлены.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технологии наставничества,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 обоснованы технологии наставничества, обоснована необходимость их применения, оптимальность и эффективность.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наставничества</w:t>
            </w: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наставничества не представлены.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инструменты наставничества,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 обоснованы инструменты наставничества, их необходимость, оптимальность и эффективность.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обучения наставников</w:t>
            </w: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системы обучения наставников не представлена. 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системы обучения наставников, однако она не описана подробно.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подробная характеристика системы обучения наставников,  однако не показана ее эффективность.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подробная характеристика системы обучения наставников, показана ее эффективность. 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наставничества</w:t>
            </w: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кадрового обеспечения наставничества не представлена.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наставничества в виде первичной информации о наставниках (ФИО, должность, стаж и т.п.).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 характеристика кадрового обеспечения наставничества, содержащая информацию об уникальных компетенциях наставников.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Представлена характеристика кадрового обеспечения наставничества, содержащая информацию об уникальных компетенциях наставников и их персональном вкладе, а деятельность организации. 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мер, которые реализованы в организации для обеспечения качественной работы  наставников</w:t>
            </w: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 мер, которые реализованы в организации для обеспечения качественной работы  наставников не представлен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 перечень мер, которые реализованы в организации для обеспечения качественной работы  наставников не представлен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  и описан комплекс мер, которые реализованы в организации для обеспечения качественной работы  наставников не представлен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  и описан комплекс мер, которые реализованы в организации для обеспечения качественной работы  наставников не представлен, показана их эффективность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6" w:name="_Hlk109039007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Лучшие кейсы в области наставничества в организации</w:t>
            </w: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Кейсы в области наставничества в организации не представлены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Представлено 1 – 3 кейсов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Представлено более  3 кейсов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 - 17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Лучшие образовательные практики в области взаимодействия образовательной организации с организациями туристской индустрии в процессе подготовки кадров.</w:t>
      </w:r>
    </w:p>
    <w:p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329"/>
        <w:gridCol w:w="1120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оценивания</w:t>
            </w:r>
          </w:p>
        </w:tc>
        <w:tc>
          <w:tcPr>
            <w:tcW w:w="43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1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88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Выставленный экспертом 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взаимодействия</w:t>
            </w: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взаимодействия не представлены.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взаимодействия представлены, но не сконцентрированы на результатах. 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представлены и содержит указание на результаты  реализации взаимодействия образовательной организации с организациями туристской индустрии в процессе подготовки кадров.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 образовательной организации с организациями туристской индустрии в процессе подготовки кадров.</w:t>
            </w: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сотрудничества не представлены 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 перечислены, но нет их подробного описания.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сотрудничества подробно описаны, указаны их особенности, обоснован выбор.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взаимодействия </w:t>
            </w: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взаимодействия  не представлены.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технологии взаимодействия,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и обоснованы технологии взаимодействия, оказывающие положительное влияние на качество подготовки квалифицированных кадров для сферы туризма и гостеприимства. 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взаимодействия</w:t>
            </w: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взаимодействия не представлены.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инструменты, используемые при взаимодействии, однако отсутствует обоснование необходимости, оптимальности и эффектов их применения.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 обоснованы технологии взаимодействия, оказывающие положительное влияние на качество подготовки квалифицированных кадров для сферы туризма и гостеприимства.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взаимодействия</w:t>
            </w: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материально-технического обеспечения взаимодействия не представлена.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материально-технического обеспечения взаимодействия в виде перечисления, без подробного описания.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подробная характеристика материально-технического обеспечения взаимодействия с обоснованием целей его использования.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подробная характеристика материально-технического обеспечения взаимодействия с обоснованием целей и эффективности его использования.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взаимодействия </w:t>
            </w: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кадрового обеспечения взаимодействия не представлена.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взаимодействия в виде первичной информации об ответственных лицах со стороны образовательной организации и со стороны организации туристской индустрии (ФИО, должность, звания, стаж и т.п.).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взаимодействия в виде информации об уникальных компетенциях участников, привлеченных к взаимодействию.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Представлена характеристика кадрового обеспечения взаимодействия в виде информации об уникальных компетенциях и персональном вкладе участников, привлеченных к взаимодействию.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Лучшие кейсы по взаимодействию</w:t>
            </w:r>
          </w:p>
        </w:tc>
        <w:tc>
          <w:tcPr>
            <w:tcW w:w="43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Кейсы по взаимодействию не представлены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Представлено 1- 3 кейсов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5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2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Представлено более 3 кейсов</w:t>
            </w: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44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Максимальное количество баллов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Награждение участников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Подведение итогов финального этапа Конкурса осуществляет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 ноябре </w:t>
      </w:r>
      <w:r>
        <w:rPr>
          <w:rFonts w:ascii="Times New Roman" w:hAnsi="Times New Roman" w:cs="Times New Roman"/>
          <w:sz w:val="28"/>
          <w:szCs w:val="28"/>
        </w:rPr>
        <w:t xml:space="preserve">2022 года.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Участникам полуфинала Конкурса рассылаются сертификаты участников Конкурса в электронном виде.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Победители Конкурса, занявшим первое, второе и третье место вручаютсядипломы.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Победители получают: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300 тыс. рублей – победителям конкурса, занявшим первые места в каждой номинации;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200 тыс. рублей – призерам конкурса, занявшим вторые места в каждой номинации;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150 тыс. рублей – призерам конкурса, занявшим третьи места в каждой номинации.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Итоговый протокол финального этапа Конкурса размещается на сайте Конкурса в течение 5 рабочих дней после проведения мероприятия.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11. Заключительные положения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Вопросы, не отраженные в настоящем Положении, решаются рабочей группой Конкурса в пределах установленных компетенций.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Материалы, присланные на Конкурс, не возвращаются и не рецензируются.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Ответственность за содержание конкурсных материалов организатор Конкурса не несет. </w:t>
      </w:r>
    </w:p>
    <w:p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Организатор Конкурса рассматривает участие в Конкурсе как согласие на последующие публикации конкурсных материалов.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 практике и ее авторе/авторах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образовательно организации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Автор/авторы: ФИО, должность, ученая степен, ученое звание, телефон, эл. почта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об авторе/авторах (членство в общественных организация, благодарности и награды, участие в деятельности экспертных советов и др.)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номинации, в которой участвует образовательная практика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практики и ее краткая характеристика (не более 1500 знаков)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образовательной практики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размещенную информацию об образовательной практике на официальном сайте образовательной организации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программы (СПО, бакалавриат, магистратура, ДО, ДПО)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УГСН (УГПС), профиль, курс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часов и срок освоения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на Конкурс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лучших образовательных практик в целях поощрения повышения компетенций граждан, занятых в туристской индустрии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образовательной практики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(Согласно Положению)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Автор(ы): ФИО, должность, организация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региона, муниципального образования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Концепция образовательной практики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Концепции образовательной практики приводится ее описание,  методическое обеспечение занятий, прикладной инструментарий и др., этапы и сроки реализации образовательной практики, необходимые ресурсы: материально-технические, информационные, интеллектуальные, организационные, кадровые (при наличии и необходимости), результат реализации образовательной практики (в соответствии с целью и задачами Конкурса, т. е. какие навыки, компетенции  сформированы и сведения, подтверждающие результат), перспективы развития образовательной практики (см. подробно в разделе 7)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 Необходимые методические и дидактические материалы (оформляются как отдельные приложения), отзывы на реализацию образовательной практики (при наличии), цифровые следы реализации образовательной практики в виде ссылок на информационные ресурсы (при наличии).</w:t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0441612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66D91"/>
    <w:multiLevelType w:val="multilevel"/>
    <w:tmpl w:val="04B66D91"/>
    <w:lvl w:ilvl="0" w:tentative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CE27F7"/>
    <w:multiLevelType w:val="multilevel"/>
    <w:tmpl w:val="5CCE27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E4261"/>
    <w:multiLevelType w:val="multilevel"/>
    <w:tmpl w:val="5E8E426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E5"/>
    <w:rsid w:val="00014A36"/>
    <w:rsid w:val="000150E3"/>
    <w:rsid w:val="0002765D"/>
    <w:rsid w:val="00030449"/>
    <w:rsid w:val="00073F90"/>
    <w:rsid w:val="000936BB"/>
    <w:rsid w:val="00093F51"/>
    <w:rsid w:val="000C7C39"/>
    <w:rsid w:val="000E7014"/>
    <w:rsid w:val="00123AA7"/>
    <w:rsid w:val="00166D7D"/>
    <w:rsid w:val="001C1EE0"/>
    <w:rsid w:val="00272BB2"/>
    <w:rsid w:val="002A181E"/>
    <w:rsid w:val="002D3DB1"/>
    <w:rsid w:val="0030389E"/>
    <w:rsid w:val="003136A2"/>
    <w:rsid w:val="00335128"/>
    <w:rsid w:val="00360370"/>
    <w:rsid w:val="003A75AF"/>
    <w:rsid w:val="003D1B1F"/>
    <w:rsid w:val="003D6CFC"/>
    <w:rsid w:val="003E1299"/>
    <w:rsid w:val="003F0F17"/>
    <w:rsid w:val="00454522"/>
    <w:rsid w:val="004647C2"/>
    <w:rsid w:val="004805D2"/>
    <w:rsid w:val="00485648"/>
    <w:rsid w:val="004C4518"/>
    <w:rsid w:val="00534DDA"/>
    <w:rsid w:val="00594F36"/>
    <w:rsid w:val="005A33B3"/>
    <w:rsid w:val="005B771C"/>
    <w:rsid w:val="005D0376"/>
    <w:rsid w:val="005F6535"/>
    <w:rsid w:val="00645E68"/>
    <w:rsid w:val="00656D9B"/>
    <w:rsid w:val="00657824"/>
    <w:rsid w:val="00692C6C"/>
    <w:rsid w:val="006A6BAF"/>
    <w:rsid w:val="006B77FE"/>
    <w:rsid w:val="006F44F6"/>
    <w:rsid w:val="007148FC"/>
    <w:rsid w:val="007207E7"/>
    <w:rsid w:val="007475E5"/>
    <w:rsid w:val="00761F90"/>
    <w:rsid w:val="00825E5B"/>
    <w:rsid w:val="00846639"/>
    <w:rsid w:val="008B2097"/>
    <w:rsid w:val="008B2F98"/>
    <w:rsid w:val="008D1014"/>
    <w:rsid w:val="008D26CB"/>
    <w:rsid w:val="008F2E14"/>
    <w:rsid w:val="00935178"/>
    <w:rsid w:val="009572D8"/>
    <w:rsid w:val="00985C63"/>
    <w:rsid w:val="00A738C0"/>
    <w:rsid w:val="00AC6A76"/>
    <w:rsid w:val="00AD26F1"/>
    <w:rsid w:val="00AE6BB7"/>
    <w:rsid w:val="00AF64B9"/>
    <w:rsid w:val="00AF78DB"/>
    <w:rsid w:val="00B42C31"/>
    <w:rsid w:val="00C2503C"/>
    <w:rsid w:val="00C64B61"/>
    <w:rsid w:val="00C7482E"/>
    <w:rsid w:val="00C948CD"/>
    <w:rsid w:val="00CA65EB"/>
    <w:rsid w:val="00CC4673"/>
    <w:rsid w:val="00CD2FBE"/>
    <w:rsid w:val="00CF4441"/>
    <w:rsid w:val="00D01089"/>
    <w:rsid w:val="00D01193"/>
    <w:rsid w:val="00D43538"/>
    <w:rsid w:val="00D7022F"/>
    <w:rsid w:val="00D84DED"/>
    <w:rsid w:val="00DD49DD"/>
    <w:rsid w:val="00E07170"/>
    <w:rsid w:val="00E55B40"/>
    <w:rsid w:val="00E90309"/>
    <w:rsid w:val="00E95810"/>
    <w:rsid w:val="00F1718F"/>
    <w:rsid w:val="00F21299"/>
    <w:rsid w:val="00F44258"/>
    <w:rsid w:val="00F7473E"/>
    <w:rsid w:val="00F8586B"/>
    <w:rsid w:val="00F959CC"/>
    <w:rsid w:val="3E2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8"/>
    <w:uiPriority w:val="99"/>
  </w:style>
  <w:style w:type="character" w:customStyle="1" w:styleId="13">
    <w:name w:val="Нижний колонтитул Знак"/>
    <w:basedOn w:val="2"/>
    <w:link w:val="9"/>
    <w:qFormat/>
    <w:uiPriority w:val="99"/>
  </w:style>
  <w:style w:type="table" w:customStyle="1" w:styleId="14">
    <w:name w:val="Сетка таблицы1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Текст примечания Знак"/>
    <w:basedOn w:val="2"/>
    <w:link w:val="6"/>
    <w:semiHidden/>
    <w:uiPriority w:val="99"/>
    <w:rPr>
      <w:sz w:val="20"/>
      <w:szCs w:val="20"/>
    </w:rPr>
  </w:style>
  <w:style w:type="character" w:customStyle="1" w:styleId="16">
    <w:name w:val="Тема примечания Знак"/>
    <w:basedOn w:val="15"/>
    <w:link w:val="7"/>
    <w:semiHidden/>
    <w:uiPriority w:val="99"/>
    <w:rPr>
      <w:b/>
      <w:bCs/>
      <w:sz w:val="20"/>
      <w:szCs w:val="20"/>
    </w:rPr>
  </w:style>
  <w:style w:type="character" w:customStyle="1" w:styleId="17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A001B-F201-4234-9023-DE88C5E74B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5696</Words>
  <Characters>32468</Characters>
  <Lines>270</Lines>
  <Paragraphs>76</Paragraphs>
  <TotalTime>176</TotalTime>
  <ScaleCrop>false</ScaleCrop>
  <LinksUpToDate>false</LinksUpToDate>
  <CharactersWithSpaces>38088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2022-07-20T07:27:00Z</dcterms:created>
  <dc:creator>Наталья Алексеевна Платонова</dc:creator>
  <cp:lastModifiedBy>UrchenkoKA</cp:lastModifiedBy>
  <cp:lastPrinted>2022-07-20T07:27:00Z</cp:lastPrinted>
  <dcterms:modified xsi:type="dcterms:W3CDTF">2022-09-08T06:14:53Z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81A5C3F6A09F4099A5E89836C68615C0</vt:lpwstr>
  </property>
</Properties>
</file>