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23 октября 2013 г. N 1509</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"ПРЕДОСТАВЛЕНИЕ ИНФОРМАЦИИ ОБ ОБЪЕКТАХ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НЕДВИЖИМОГО ИМУЩЕСТВА, НАХОДЯЩИХСЯ В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СОБСТВЕННОСТИ И ПРЕДНАЗНАЧЕННЫХ ДЛЯ СДАЧИ В АРЕНДУ"</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24.02.2014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consultantplus://offline/ref=0FEA62EA574C8D103C158B2A027AC7AD1710A1EEED7DA58B431202D8D8056E44CAFD27AFCFFEE42C4FA751683C3D6207FF7BF2400DC3F3B2B16B9DA9i0E1K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211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28.05.2014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consultantplus://offline/ref=0FEA62EA574C8D103C158B2A027AC7AD1710A1EEED7DA58B421102D8D8056E44CAFD27AFCFFEE42C4FA751683C3D6207FF7BF2400DC3F3B2B16B9DA9i0E1K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681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consultantplus://offline/ref=0FEA62EA574C8D103C158B2A027AC7AD1710A1EEED7EA782481702D8D8056E44CAFD27AFCFFEE42C4FA751683C3D6207FF7BF2400DC3F3B2B16B9DA9i0E1K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530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consultantplus://offline/ref=0FEA62EA574C8D103C158B2A027AC7AD1710A1EEED78A487451D02D8D8056E44CAFD27AFCFFEE42C4FA751683C3D6207FF7BF2400DC3F3B2B16B9DA9i0E1K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consultantplus://offline/ref=0FEA62EA574C8D103C158B2A027AC7AD1710A1EEED75A184461C02D8D8056E44CAFD27AFCFFEE42C4FA751683C3D6207FF7BF2400DC3F3B2B16B9DA9i0E1K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consultantplus://offline/ref=0FEA62EA574C8D103C158B2A027AC7AD1710A1EEED75A18B441702D8D8056E44CAFD27AFCFFEE42C4FA751683C3D6207FF7BF2400DC3F3B2B16B9DA9i0E1K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consultantplus://offline/ref=0FEA62EA574C8D103C158B2A027AC7AD1710A1EEEE7EA786451102D8D8056E44CAFD27AFCFFEE42C4FA751683C3D6207FF7BF2400DC3F3B2B16B9DA9i0E1K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511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consultantplus://offline/ref=0FEA62EA574C8D103C159527141690A21518FFE5EF78A8D41D41048F875568118ABD21FA8CBAE9244BAC05397D633B54B830FF4110DFF3B3iAECK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статьями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consultantplus://offline/ref=0FEA62EA574C8D103C159527141690A21518FFE5EF78A8D41D41048F875568118ABD21FA8CBAE82C48AC05397D633B54B830FF4110DFF3B3iAECK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consultantplus://offline/ref=0FEA62EA574C8D103C158B2A027AC7AD1710A1EEEE78A085491102D8D8056E44CAFD27AFCFFEE42C4FA7556A3D3D6207FF7BF2400DC3F3B2B16B9DA9i0E1K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Комитету муниципальной собственности администрации Белоярского района при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руководствоваться административным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указанным в пункте 1 настоящего постановления.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Исполняющий обязанности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главы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А.В.ОЙНЕЦ</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11" w:name="_GoBack"/>
      <w:bookmarkEnd w:id="11"/>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23 октября 2013 года N 1509</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ИНФОРМАЦИИ ОБ ОБЪЕКТАХ НЕДВИЖИМОГО ИМУЩЕСТВА,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НАХОДЯЩИХСЯ В МУНИЦИПАЛЬНОЙ СОБСТВЕННОСТИ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ПРЕДНАЗНАЧЕННЫХ ДЛЯ СДАЧИ В АРЕНДУ"</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24.02.2014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consultantplus://offline/ref=0FEA62EA574C8D103C158B2A027AC7AD1710A1EEED7DA58B431202D8D8056E44CAFD27AFCFFEE42C4FA751683C3D6207FF7BF2400DC3F3B2B16B9DA9i0E1K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211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28.05.2014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consultantplus://offline/ref=0FEA62EA574C8D103C158B2A027AC7AD1710A1EEED7DA58B421102D8D8056E44CAFD27AFCFFEE42C4FA751683C3D6207FF7BF2400DC3F3B2B16B9DA9i0E1K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681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consultantplus://offline/ref=0FEA62EA574C8D103C158B2A027AC7AD1710A1EEED7EA782481702D8D8056E44CAFD27AFCFFEE42C4FA751683C3D6207FF7BF2400DC3F3B2B16B9DA9i0E1K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530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consultantplus://offline/ref=0FEA62EA574C8D103C158B2A027AC7AD1710A1EEED78A487451D02D8D8056E44CAFD27AFCFFEE42C4FA751683C3D6207FF7BF2400DC3F3B2B16B9DA9i0E1K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consultantplus://offline/ref=0FEA62EA574C8D103C158B2A027AC7AD1710A1EEED75A184461C02D8D8056E44CAFD27AFCFFEE42C4FA751683C3D6207FF7BF2400DC3F3B2B16B9DA9i0E1K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consultantplus://offline/ref=0FEA62EA574C8D103C158B2A027AC7AD1710A1EEED75A18B441702D8D8056E44CAFD27AFCFFEE42C4FA751683C3D6207FF7BF2400DC3F3B2B16B9DA9i0E1K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consultantplus://offline/ref=0FEA62EA574C8D103C158B2A027AC7AD1710A1EEEE7EA786451102D8D8056E44CAFD27AFCFFEE42C4FA751683C3D6207FF7BF2400DC3F3B2B16B9DA9i0E1K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511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муниципальной собственности администрации Белоярского района (далее - Комитет), а также порядок его взаимодействия с заявителями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предоставление муниципальной услуги являются юридические лица, физические лица, индивидуальные предприниматели.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 w:name="Par58"/>
      <w:bookmarkEnd w:id="1"/>
      <w:r>
        <w:rPr>
          <w:rFonts w:hint="default" w:ascii="Times New Roman" w:hAnsi="Times New Roman" w:cs="Times New Roman"/>
          <w:sz w:val="24"/>
          <w:szCs w:val="24"/>
        </w:rPr>
        <w:t>1.3.1. Информация о месте нахождения, графике работы, справочных телефонах, адресах электронной почты Комитета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муниципального имущества Комитета муниципальной собственности (далее - Отдел):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2-21-57, 2-30-09.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Отдела: SiunovaOV@admbel.ru.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consultantplus://offline/ref=0FEA62EA574C8D103C158B2A027AC7AD1710A1EEED7EA782481702D8D8056E44CAFD27AFCFFEE42C4FA751683F3D6207FF7BF2400DC3F3B2B16B9DA9i0E1K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30.05.2016 N 530)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17-00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consultantplus://offline/ref=0FEA62EA574C8D103C158B2A027AC7AD1710A1EEED7EA782481702D8D8056E44CAFD27AFCFFEE42C4FA75168313D6207FF7BF2400DC3F3B2B16B9DA9i0E1K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30.05.2016 N 530)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неприемный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consultantplus://offline/ref=0FEA62EA574C8D103C158B2A027AC7AD1710A1EEED7DA58B421102D8D8056E44CAFD27AFCFFEE42C4FA751683F3D6207FF7BF2400DC3F3B2B16B9DA9i0E1K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28.05.2014 N 681)</w:t>
      </w:r>
    </w:p>
    <w:p>
      <w:pPr>
        <w:spacing w:before="160" w:beforeLines="0" w:afterLines="0"/>
        <w:ind w:firstLine="540"/>
        <w:rPr>
          <w:rFonts w:hint="default" w:ascii="Times New Roman" w:hAnsi="Times New Roman" w:cs="Times New Roman"/>
          <w:sz w:val="24"/>
          <w:szCs w:val="24"/>
        </w:rPr>
      </w:pPr>
      <w:bookmarkStart w:id="2" w:name="Par89"/>
      <w:bookmarkEnd w:id="2"/>
      <w:r>
        <w:rPr>
          <w:rFonts w:hint="default" w:ascii="Times New Roman" w:hAnsi="Times New Roman" w:cs="Times New Roman"/>
          <w:sz w:val="24"/>
          <w:szCs w:val="24"/>
        </w:rPr>
        <w:t xml:space="preserve">1.3.2.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1.3.1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органов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устной (при личном общении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1.3.4. В случае устного обращения (лично или по телефону) заявителя (его представителя) специалисты Отдела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Комитете.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1.3.2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3" w:name="Par104"/>
      <w:bookmarkEnd w:id="3"/>
      <w:r>
        <w:rPr>
          <w:rFonts w:hint="default" w:ascii="Times New Roman" w:hAnsi="Times New Roman" w:cs="Times New Roman"/>
          <w:sz w:val="24"/>
          <w:szCs w:val="24"/>
        </w:rPr>
        <w:t>1.3.7. На стенде в месте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Комитета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заявления о предоставлении муниципальной услуги и образец его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 администрация Белоярского района в лице Комитета муниципальной собственности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осуществляется отделом муниципального имущества Комитета муниципальной собственности.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муниципальное автономное учреждение Белоярского района "Многофункциональный центр предоставления государственных и муниципальных услуг в Белоярском районе".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consultantplus://offline/ref=0FEA62EA574C8D103C159527141690A21518FFE5EF78A8D41D41048F875568118ABD21F884B1BD7C0BF25C6A3A283655A52CFF40i0EDK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consultantplus://offline/ref=0FEA62EA574C8D103C158B2A027AC7AD1710A1EEEE7EA086471202D8D8056E44CAFD27AFCFFEE42C4FA751693D3D6207FF7BF2400DC3F3B2B16B9DA9i0E1K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bookmarkStart w:id="4" w:name="Par127"/>
      <w:bookmarkEnd w:id="4"/>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Конечным 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информации об объектах недвижимого имущества, находящихся в муниципальной собственности и предназначенных для сдачи в аренду;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уведомления об отказе в предоставлении информации с указанием причины отказа.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предоставления муниципальной услуги оформляется в форме письма на фирменном бланке Комитета.</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Общий срок предоставления муниципальной услуги составляет 15 рабочих дней со дня регистрации в Комитете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чем через 3 рабочих дня со дня подписания председателем комитета либо лицом, его замещающим, документов, являющихся результатом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consultantplus://offline/ref=0FEA62EA574C8D103C159527141690A21518F6E2E579A8D41D41048F8755681198BD79F68EB9F72D4CB953683Bi3E5K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опубликованным в издании "Российская газета", N 202, 08 октября 2003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consultantplus://offline/ref=0FEA62EA574C8D103C159527141690A21518F9E0E97FA8D41D41048F8755681198BD79F68EB9F72D4CB953683Bi3E5K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26 июля 2006 года N 135-ФЗ "О защите конкуренции", опубликованным в издании "Российская газета", N 162, 27 июля 2006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consultantplus://offline/ref=0FEA62EA574C8D103C159527141690A21518FFE5EF78A8D41D41048F875568118ABD21FA8CBAE9244BAC05397D633B54B830FF4110DFF3B3iAECK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опубликованным в издании "Российская газета", N 168, 30 июля 2010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consultantplus://offline/ref=0FEA62EA574C8D103C159527141690A21519FDE3EC7AA8D41D41048F8755681198BD79F68EB9F72D4CB953683Bi3E5K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опубликованным в издании "Российская газета", N 25, 13 февраля 2009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consultantplus://offline/ref=0FEA62EA574C8D103C159527141690A21019FBE6EC7AA8D41D41048F8755681198BD79F68EB9F72D4CB953683Bi3E5K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распоряжением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опубликованным в издании "Российская газета", N 247, 23 декабря 2009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consultantplus://offline/ref=0FEA62EA574C8D103C158B2A027AC7AD1710A1EEEE7AA085461402D8D8056E44CAFD27AFDDFEBC204DA44F683A283456B9i2EDK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I), ст. 461);</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consultantplus://offline/ref=0FEA62EA574C8D103C158B2A027AC7AD1710A1EEED7DA58B421102D8D8056E44CAFD27AFCFFEE42C4FA7516B3D3D6207FF7BF2400DC3F3B2B16B9DA9i0E1K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28.05.2014 N 681)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consultantplus://offline/ref=0FEA62EA574C8D103C158B2A027AC7AD1710A1EEEE78A181411702D8D8056E44CAFD27AFDDFEBC204DA44F683A283456B9i2EDK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(бездействия) органов администрации Белоярского района, предоставляющих муниципальные услуги, их должностных лиц, муниципальных служащих", опубликованным в издании "Белоярские вести. Официальный выпуск", N 50, 07 декабря 2012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настоящим административным регламентом.</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 Для получения муниципальной услуги заявитель представляет в Комитет 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Способы получения заявителями формы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Установленную форму заявления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Отдела либо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информационно-телекоммуникационной сети Интернет на официальном портале,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подается в свободной форме либо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N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Способы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почте, в том числе электронной,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факсимильной связи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2.6.5.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consultantplus://offline/ref=0FEA62EA574C8D103C159527141690A21518FFE5EF78A8D41D41048F875568118ABD21F889B1BD7C0BF25C6A3A283655A52CFF40i0EDK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consultantplus://offline/ref=0FEA62EA574C8D103C159527141690A21518FFE5EF78A8D41D41048F875568118ABD21FA8CBAE92C4FAC05397D633B54B830FF4110DFF3B3iAECK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consultantplus://offline/ref=0FEA62EA574C8D103C159527141690A21518FFE5EF78A8D41D41048F875568118ABD21FF8FB1BD7C0BF25C6A3A283655A52CFF40i0EDK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consultantplus://offline/ref=0FEA62EA574C8D103C159527141690A21518FFE5EF78A8D41D41048F875568118ABD21F88FB3E2791EE304653B352856B830FD420CiDEEK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consultantplus://offline/ref=0FEA62EA574C8D103C159527141690A21518FFE5EF78A8D41D41048F875568118ABD21FA8CBAEA284DAC05397D633B54B830FF4110DFF3B3iAECK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consultantplus://offline/ref=0FEA62EA574C8D103C159527141690A21518FFE5EF78A8D41D41048F875568118ABD21FA8CBAEA284DAC05397D633B54B830FF4110DFF3B3iAECK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consultantplus://offline/ref=0FEA62EA574C8D103C159527141690A21518FFE5EF78A8D41D41048F875568118ABD21F889B3E2791EE304653B352856B830FD420CiDEEK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2.6.5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consultantplus://offline/ref=0FEA62EA574C8D103C158B2A027AC7AD1710A1EEEE7EA786451102D8D8056E44CAFD27AFCFFEE42C4FA751683C3D6207FF7BF2400DC3F3B2B16B9DA9i0E1K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17.06.2021 N 511)</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 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не предусмотрены.</w:t>
      </w:r>
    </w:p>
    <w:p>
      <w:pPr>
        <w:spacing w:before="160" w:beforeLines="0" w:afterLines="0"/>
        <w:ind w:firstLine="540"/>
        <w:rPr>
          <w:rFonts w:hint="default" w:ascii="Times New Roman" w:hAnsi="Times New Roman" w:cs="Times New Roman"/>
          <w:sz w:val="24"/>
          <w:szCs w:val="24"/>
        </w:rPr>
      </w:pPr>
      <w:bookmarkStart w:id="5" w:name="Par189"/>
      <w:bookmarkEnd w:id="5"/>
      <w:r>
        <w:rPr>
          <w:rFonts w:hint="default" w:ascii="Times New Roman" w:hAnsi="Times New Roman" w:cs="Times New Roman"/>
          <w:sz w:val="24"/>
          <w:szCs w:val="24"/>
        </w:rPr>
        <w:t>2.8.2. Исчерпывающий перечень оснований для отказа в предоставлении информации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заявления не позволяет установить имущество, в отношении которого запрашивается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на безвозмездной основе.</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лично представленные в Комитет или поступившие в адрес Комитета по почте, в том числе электронной, посредством факсимильной связи, подлежат обязательной регистрации специалистом по делопроизводству Комитета в журнале входящей корреспонденции в день обращения заявителя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регистрации заявления заявителя о предоставлении муниципальной услуги при личном обращении в Комитет составляет не более 15 минут.</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consultantplus://offline/ref=0FEA62EA574C8D103C158B2A027AC7AD1710A1EEED7EA782481702D8D8056E44CAFD27AFCFFEE42C4FA75169383D6207FF7BF2400DC3F3B2B16B9DA9i0E1K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30.05.2016 N 530)</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1.3.7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consultantplus://offline/ref=0FEA62EA574C8D103C159527141690A21013FCE7E57BA8D41D41048F875568118ABD21FA8CBAE92C4DAC05397D633B54B830FF4110DFF3B3iAECK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consultantplus://offline/ref=0FEA62EA574C8D103C159527141690A21013FCE7E57BA8D41D41048F875568118ABD21FA8CBAE92E47AC05397D633B54B830FF4110DFF3B3iAECK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ind w:firstLine="54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транспортная доступность к местам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Комитета,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восстановление нарушенных прав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pPr>
        <w:spacing w:beforeLines="0" w:afterLines="0"/>
        <w:ind w:firstLine="54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consultantplus://offline/ref=0FEA62EA574C8D103C158B2A027AC7AD1710A1EEED78A487451D02D8D8056E44CAFD27AFCFFEE42C4FA751683C3D6207FF7BF2400DC3F3B2B16B9DA9i0E1K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06.09.2017 N 848)</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посредством отправки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усиленной квалифицированной 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действующего от имени юридического лица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 также 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многофункциональных центрах</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consultantplus://offline/ref=0FEA62EA574C8D103C158B2A027AC7AD1710A1EEED7DA58B431202D8D8056E44CAFD27AFCFFEE42C4FA751683F3D6207FF7BF2400DC3F3B2B16B9DA9i0E1K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24.02.2014 N 211)</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3.1.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Par539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2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Комитет заявления о предоставлении муниципальной услуги, в том числе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в адрес Комитета или представленного заявителем лично в Комитет, - специалист по делопроизводству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предоставленного заявителем лично в Отдел или поступившего посредством Единого и регионального порталов,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заявление о предоставлении муниципальной услуги регистрируется в журнале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Зарегистрированное заявление о предоставлении муниципальной услуги с визой председателя комитета либо лица, его замещающего, передается начальнику Отдела для назначения ответственного за предоставление муниципальной услуги исполнителя из числа специалистов Отдела (далее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Комитет.</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документов, являющихся результатом предоставления муниципальной услуги, - председатель комитета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документов, являющихся результатом предоставления муниципальной услуги, - специалист по делопроизводству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- 10 рабочих дней со дня регистрации в Комитете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документов, являющихся результатом предоставления муниципальной услуги (продолжительность и (или) максимальный срок выполнения - в день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документов, являющихся результатом предоставления муниципальной услуги (продолжительность и (или) максимальный срок выполнения - в течение 1 рабочего дня со дня подписания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председателем комитета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 пункта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подписанные председателем комитета либо лицом, его замещающим,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исходящей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или специалист по делопроизводству Комитета в течение 1 рабочего дня с момента регистрации документов, являющихся результатом предоставления муниципальной услуги, направляет их в МФЦ.</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3.4. Выдача (направление) заявителю документов, являющихся 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почтой, в том числе электронной, или посредством факсимильной связи - специалист по делопроизводству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председателем комитета либо лицом, его замещающим,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выданные заявителю нарочно документы, являющиеся результатом предоставления муниципальной услуги, подтверждаются подписью заявителя на копии такого документа (в том числе с указанием его фамилии, имени, отчества и даты получения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направленные заявителю почтой, в том числе электронной, или посредством факсимильной связи документы, являющиеся результатом предоставления муниципальной услуги, отображаются в журнале исходящей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исполнением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Комитета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consultantplus://offline/ref=0FEA62EA574C8D103C158B2A027AC7AD1710A1EEED7DA58B421102D8D8056E44CAFD27AFCFFEE42C4FA7516B3E3D6207FF7BF2400DC3F3B2B16B9DA9i0E1K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28.05.2014 N 681)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consultantplus://offline/ref=0FEA62EA574C8D103C158B2A027AC7AD1710A1EEED7DA58B421102D8D8056E44CAFD27AFCFFEE42C4FA7516B303D6207FF7BF2400DC3F3B2B16B9DA9i0E1K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28.05.2014 N 681)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consultantplus://offline/ref=0FEA62EA574C8D103C158B2A027AC7AD1710A1EEED7DA58B421102D8D8056E44CAFD27AFCFFEE42C4FA7516C393D6207FF7BF2400DC3F3B2B16B9DA9i0E1K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28.05.2014 N 681)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consultantplus://offline/ref=0FEA62EA574C8D103C158B2A027AC7AD1710A1EEED7DA58B421102D8D8056E44CAFD27AFCFFEE42C4FA7516C383D6207FF7BF2400DC3F3B2B16B9DA9i0E1K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28.05.2014 N 681)</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в том числе со стороны граждан, их объединений и организаций, осуществляется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 "Об</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организации предоставления государственных и муниципальных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consultantplus://offline/ref=0FEA62EA574C8D103C158B2A027AC7AD1710A1EEED75A184461C02D8D8056E44CAFD27AFCFFEE42C4FA751693C3D6207FF7BF2400DC3F3B2B16B9DA9i0E1K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07.11.2018 N 1071)</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consultantplus://offline/ref=0FEA62EA574C8D103C159527141690A21518FFE5EF78A8D41D41048F875568118ABD21FA8CBAEA284DAC05397D633B54B830FF4110DFF3B3iAECK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consultantplus://offline/ref=0FEA62EA574C8D103C159527141690A21518FFE5EF78A8D41D41048F875568118ABD21F988BEE2791EE304653B352856B830FD420CiDEEK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consultantplus://offline/ref=0FEA62EA574C8D103C159527141690A21518FFE5EF78A8D41D41048F875568118ABD21F985BAE2791EE304653B352856B830FD420CiDEEK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consultantplus://offline/ref=0FEA62EA574C8D103C158B2A027AC7AD1710A1EEED75A18B441702D8D8056E44CAFD27AFCFFEE42C4FA751683F3D6207FF7BF2400DC3F3B2B16B9DA9i0E1K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22.11.2018 N 1133)</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6" w:name="Par410"/>
      <w:bookmarkEnd w:id="6"/>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Par410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consultantplus://offline/ref=0FEA62EA574C8D103C158B2A027AC7AD1710A1EEED75A18B441702D8D8056E44CAFD27AFCFFEE42C4FA751693D3D6207FF7BF2400DC3F3B2B16B9DA9i0E1K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5.6.2.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consultantplus://offline/ref=0FEA62EA574C8D103C158B2A027AC7AD1710A1EEED75A18B441702D8D8056E44CAFD27AFCFFEE42C4FA751693F3D6207FF7BF2400DC3F3B2B16B9DA9i0E1K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5.6.3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consultantplus://offline/ref=0FEA62EA574C8D103C158B2A027AC7AD1710A1EEED75A18B441702D8D8056E44CAFD27AFCFFEE42C4FA751693E3D6207FF7BF2400DC3F3B2B16B9DA9i0E1K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информации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об объектах недвижимого имущества,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находящихся в муниципальной собственности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предназначенных для сдачи в аренду"</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Комитет муниципальной собственности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заявителя (для юридических лиц)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Par520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(для физических лиц и индивидуальных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предпринимателей), Ф.И.О. представителя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телефон (факс), электронная почта и иные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реквизиты, позволяющие осуществлять взаимодействие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заявителем)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7" w:name="Par501"/>
      <w:bookmarkEnd w:id="7"/>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информацию  об  объектах  недвижимого  имущества,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находящихся   в   муниципальной   собственности   Белоярского   района    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предназначенных для сдачи в аренду: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площадь (от ____ до ____) и цель использования)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Способ    выдачи    документов,   являющихся   результатом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(нарочно, через МФЦ, по почте)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 заявителя, представителя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 ____________________ 20__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8" w:name="Par520"/>
      <w:bookmarkEnd w:id="8"/>
      <w:r>
        <w:rPr>
          <w:rFonts w:hint="default" w:ascii="Times New Roman" w:hAnsi="Times New Roman" w:cs="Times New Roman"/>
          <w:sz w:val="24"/>
          <w:szCs w:val="24"/>
        </w:rPr>
        <w:t>*  Юридические  лица  представляют  заявление  на бланке юридического лица.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Бланк   должен   содержать   номер  телефона  контактного  лица,  почтовый,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электронный адрес.</w:t>
      </w:r>
    </w:p>
    <w:p>
      <w:pPr>
        <w:pStyle w:val="5"/>
        <w:spacing w:beforeLines="0" w:afterLines="0"/>
        <w:jc w:val="both"/>
        <w:rPr>
          <w:rFonts w:hint="default" w:ascii="Times New Roman" w:hAnsi="Times New Roman" w:cs="Times New Roman"/>
          <w:sz w:val="24"/>
          <w:szCs w:val="24"/>
        </w:rPr>
      </w:pPr>
      <w:bookmarkStart w:id="9" w:name="Par523"/>
      <w:bookmarkEnd w:id="9"/>
      <w:r>
        <w:rPr>
          <w:rFonts w:hint="default" w:ascii="Times New Roman" w:hAnsi="Times New Roman" w:cs="Times New Roman"/>
          <w:sz w:val="24"/>
          <w:szCs w:val="24"/>
        </w:rPr>
        <w:t>** При обращении представителя, действующего в силу закона или на основании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договора  либо  доверенности,  документ,  подтверждающий полномочия лица 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осуществление действий от имени заявителя.</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информации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об объектах недвижимого имущества,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находящихся в муниципальной собственности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предназначенных для сдачи в аренду"</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0" w:name="Par539"/>
      <w:bookmarkEnd w:id="10"/>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ИНФОРМАЦИИ ОБ ОБЪЕКТАХ НЕДВИЖИМОГО ИМУЩЕСТВА,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НАХОДЯЩИХСЯ В МУНИЦИПАЛЬНОЙ СОБСТВЕННОСТИ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ПРЕДНАЗНАЧЕННЫХ ДЛЯ СДАЧИ В АРЕНДУ"</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 о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Рассмотрение заявления о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Отсутствуют основания     │       │        Наличие оснований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для отказа в предоставлении  │       │   для отказа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Оформление и выдача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Оформление и выдача      │       │     (направление)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(направление) заявителю    │       │      уведомления об отказе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информации об объектах    │       │   в предоставлении информации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недвижимого имущества,    │       │    с указанием причины отказа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находящихся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 муниципальной собственности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и предназначенных для сдачи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 аренду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29C3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2023-03-23T10:04:34Z</dcterms:created>
  <dc:creator>YagodkaYV</dc:creator>
  <cp:lastModifiedBy>YagodkaYV</cp:lastModifiedBy>
  <dcterms:modified xsi:type="dcterms:W3CDTF">2023-03-23T10:05:16Z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8FC9F080772A4DE286DCE225177CCB40</vt:lpwstr>
  </property>
</Properties>
</file>