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29" w:rsidRPr="00F7459A" w:rsidRDefault="00E95829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9A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C35C0" w:rsidRPr="00F7459A" w:rsidRDefault="00E95829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9A">
        <w:rPr>
          <w:rFonts w:ascii="Times New Roman" w:hAnsi="Times New Roman" w:cs="Times New Roman"/>
          <w:b/>
          <w:sz w:val="24"/>
          <w:szCs w:val="24"/>
        </w:rPr>
        <w:t>о ходе</w:t>
      </w:r>
      <w:r w:rsidR="00283FC5" w:rsidRPr="00F7459A">
        <w:rPr>
          <w:rFonts w:ascii="Times New Roman" w:hAnsi="Times New Roman" w:cs="Times New Roman"/>
          <w:b/>
          <w:sz w:val="24"/>
          <w:szCs w:val="24"/>
        </w:rPr>
        <w:t xml:space="preserve"> реализации Стратегии с</w:t>
      </w:r>
      <w:r w:rsidR="003C35C0" w:rsidRPr="00F7459A">
        <w:rPr>
          <w:rFonts w:ascii="Times New Roman" w:hAnsi="Times New Roman" w:cs="Times New Roman"/>
          <w:b/>
          <w:sz w:val="24"/>
          <w:szCs w:val="24"/>
        </w:rPr>
        <w:t xml:space="preserve">оциально-экономического развития Белоярского района </w:t>
      </w:r>
    </w:p>
    <w:p w:rsidR="003A3F86" w:rsidRPr="00F7459A" w:rsidRDefault="003C35C0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9A">
        <w:rPr>
          <w:rFonts w:ascii="Times New Roman" w:hAnsi="Times New Roman" w:cs="Times New Roman"/>
          <w:b/>
          <w:sz w:val="24"/>
          <w:szCs w:val="24"/>
        </w:rPr>
        <w:t xml:space="preserve">до 2020 года и на период до 2030 года </w:t>
      </w:r>
    </w:p>
    <w:p w:rsidR="003C35C0" w:rsidRPr="00F7459A" w:rsidRDefault="003C35C0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9A">
        <w:rPr>
          <w:rFonts w:ascii="Times New Roman" w:hAnsi="Times New Roman" w:cs="Times New Roman"/>
          <w:b/>
          <w:sz w:val="24"/>
          <w:szCs w:val="24"/>
        </w:rPr>
        <w:t>за 201</w:t>
      </w:r>
      <w:r w:rsidR="00D05D31">
        <w:rPr>
          <w:rFonts w:ascii="Times New Roman" w:hAnsi="Times New Roman" w:cs="Times New Roman"/>
          <w:b/>
          <w:sz w:val="24"/>
          <w:szCs w:val="24"/>
        </w:rPr>
        <w:t>7</w:t>
      </w:r>
      <w:r w:rsidRPr="00F745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0414"/>
        <w:gridCol w:w="1513"/>
        <w:gridCol w:w="1416"/>
        <w:gridCol w:w="1394"/>
      </w:tblGrid>
      <w:tr w:rsidR="00D05D31" w:rsidRPr="00D05D31" w:rsidTr="00736502">
        <w:trPr>
          <w:trHeight w:val="945"/>
          <w:tblHeader/>
        </w:trPr>
        <w:tc>
          <w:tcPr>
            <w:tcW w:w="10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D05D31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D05D31" w:rsidRDefault="00B52699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05D31"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отчет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D05D31" w:rsidRDefault="00B52699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05D31"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отчет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D05D31" w:rsidRDefault="00B52699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на 20</w:t>
            </w:r>
            <w:r w:rsidR="00F7459A"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5D31" w:rsidRPr="00D05D31" w:rsidTr="00736502">
        <w:trPr>
          <w:trHeight w:val="342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D05D31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</w:tr>
      <w:tr w:rsidR="00D05D31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1" w:rsidRPr="00D05D31" w:rsidRDefault="00D05D31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(среднегодовая), тыс. 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30,258</w:t>
            </w:r>
          </w:p>
        </w:tc>
      </w:tr>
      <w:tr w:rsidR="00D05D31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1" w:rsidRPr="00D05D31" w:rsidRDefault="00D05D31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года), тыс. 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30,198</w:t>
            </w:r>
          </w:p>
        </w:tc>
      </w:tr>
      <w:tr w:rsidR="00D05D31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1" w:rsidRPr="00D05D31" w:rsidRDefault="00D05D31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рождаемости на 1000 человек среднегодового населения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D05D31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1" w:rsidRPr="00D05D31" w:rsidRDefault="00D05D31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общей смертности на 1000 человек среднегодового населения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D05D31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1" w:rsidRPr="00D05D31" w:rsidRDefault="00D05D31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(убыли) населения (на 1000 человек)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D05D31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1" w:rsidRPr="00D05D31" w:rsidRDefault="00D05D31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 (на 1000 человек)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31" w:rsidRPr="00D05D31" w:rsidRDefault="00D05D31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</w:t>
            </w:r>
          </w:p>
        </w:tc>
      </w:tr>
      <w:tr w:rsidR="00D05D31" w:rsidRPr="00D05D31" w:rsidTr="00736502">
        <w:trPr>
          <w:trHeight w:val="315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0C76D4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реального сектора экономики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млн. руб. (в действующих ценах каждого года)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14 366,3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12192,6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28 935,8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</w:t>
            </w:r>
            <w:proofErr w:type="spellStart"/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душу населения (в тыс. руб.)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486,8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0C76D4" w:rsidRPr="00D05D31" w:rsidTr="00736502">
        <w:trPr>
          <w:trHeight w:val="349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промышленного производства, млн.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D05D31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24 216,4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31 268,6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56 648,3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21 749,6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29 172,1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52 171,1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производства, млн.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2 710,4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производства, в % к предыдущему году в сопоставимых ценах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топливно-энергетических ископаемых: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A7577E" w:rsidRDefault="000C76D4" w:rsidP="00B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нефти, включая газовый конденсат, тыс. тонн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2 463,9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3 850,1</w:t>
            </w:r>
          </w:p>
        </w:tc>
      </w:tr>
      <w:tr w:rsidR="00F03195" w:rsidRPr="00F03195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F03195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лесопромышленного комплекса, млн.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F03195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F03195" w:rsidRDefault="00F03195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F03195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агропромышленного комплекса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сельского хозяйства, млн.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480,8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деятельности «Строительство», тыс.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5496,3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6 955,2</w:t>
            </w:r>
          </w:p>
        </w:tc>
      </w:tr>
      <w:tr w:rsidR="000C76D4" w:rsidRPr="00D05D31" w:rsidTr="00736502">
        <w:trPr>
          <w:trHeight w:val="315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сектора услуг, потребительского рынка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Магазины, кв. м торговой площади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D05D31" w:rsidRDefault="000C76D4" w:rsidP="00A7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28 132,3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28 004,3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47 445,5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3 992,7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5 390,7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1 596,6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2 362,8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питания, млн.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D05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1 240,6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D4" w:rsidRPr="00A7577E" w:rsidRDefault="000C76D4" w:rsidP="00A75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(на конец года), 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A7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A7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A7577E" w:rsidRDefault="000C76D4" w:rsidP="00A75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7E">
              <w:rPr>
                <w:rFonts w:ascii="Times New Roman" w:hAnsi="Times New Roman" w:cs="Times New Roman"/>
                <w:sz w:val="24"/>
                <w:szCs w:val="24"/>
              </w:rPr>
              <w:t>1 390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721C7F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малых и средних предприятий, 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721C7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721C7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721C7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4 292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всех предприятий и организаций, 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17 117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16 540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17 412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721C7F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занятых в малом бизнесе от всех занятых в экономике муниципального района, 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721C7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721C7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721C7F" w:rsidRDefault="000C76D4" w:rsidP="007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0C76D4" w:rsidRPr="00D05D31" w:rsidTr="00736502">
        <w:trPr>
          <w:trHeight w:val="315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жилищной сферы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ветхого и аварийного жилого фонда в общей площади жилья по району, 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жилых домах, признанных аварийными, 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кв. м на человека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0C76D4" w:rsidRPr="00D05D31" w:rsidTr="00736502">
        <w:trPr>
          <w:trHeight w:val="37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годовой объем ввода жилья, тыс. м</w:t>
            </w: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0C76D4" w:rsidRPr="00D05D31" w:rsidTr="00736502">
        <w:trPr>
          <w:trHeight w:val="315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образования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0C76D4" w:rsidRPr="00D05D31" w:rsidTr="00736502">
        <w:trPr>
          <w:trHeight w:val="94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лет, 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C76D4" w:rsidRPr="00D05D31" w:rsidTr="00736502">
        <w:trPr>
          <w:trHeight w:val="157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76D4" w:rsidRPr="00D05D31" w:rsidTr="00736502">
        <w:trPr>
          <w:trHeight w:val="315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</w:tr>
      <w:tr w:rsidR="000C76D4" w:rsidRPr="00D05D31" w:rsidTr="00736502">
        <w:trPr>
          <w:trHeight w:val="315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спортивными сооружениями, % от норматива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65,64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бассейнами, % от норматива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C76D4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D05D31" w:rsidRDefault="000C76D4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D05D31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0C76D4" w:rsidRPr="00D05D31" w:rsidTr="00736502">
        <w:trPr>
          <w:trHeight w:val="315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FD776D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77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транспортной инфраструктуры</w:t>
            </w:r>
          </w:p>
        </w:tc>
      </w:tr>
      <w:tr w:rsidR="00FD776D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6D" w:rsidRPr="00FD776D" w:rsidRDefault="00FD776D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км.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6D" w:rsidRPr="00FD776D" w:rsidRDefault="00F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184,47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6D" w:rsidRPr="00FD776D" w:rsidRDefault="00F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184,47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6D" w:rsidRPr="00FD776D" w:rsidRDefault="00FD776D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FD776D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6D" w:rsidRPr="00FD776D" w:rsidRDefault="00FD776D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требованиям, км.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6D" w:rsidRPr="00FD776D" w:rsidRDefault="00F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6D" w:rsidRPr="00FD776D" w:rsidRDefault="00F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6D" w:rsidRPr="00FD776D" w:rsidRDefault="00FD776D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FD776D" w:rsidRPr="00D05D31" w:rsidTr="00736502">
        <w:trPr>
          <w:trHeight w:val="94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6D" w:rsidRPr="00FD776D" w:rsidRDefault="00FD776D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6D" w:rsidRPr="00FD776D" w:rsidRDefault="00F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6D" w:rsidRPr="00FD776D" w:rsidRDefault="00F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6D" w:rsidRPr="00FD776D" w:rsidRDefault="00FD776D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FD776D" w:rsidRPr="00D05D31" w:rsidTr="00736502">
        <w:trPr>
          <w:trHeight w:val="126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6D" w:rsidRPr="00FD776D" w:rsidRDefault="00FD776D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на территория муниципального района, не имеющих регулярного автобусного и (или) железнодорожного сообщения с центром района, в общей численности населения муниципального района, 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6D" w:rsidRPr="00FD776D" w:rsidRDefault="00F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6D" w:rsidRPr="00FD776D" w:rsidRDefault="00F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6D" w:rsidRPr="00FD776D" w:rsidRDefault="00FD776D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D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C76D4" w:rsidRPr="00D05D31" w:rsidTr="00736502">
        <w:trPr>
          <w:trHeight w:val="315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жизни населения</w:t>
            </w:r>
          </w:p>
        </w:tc>
      </w:tr>
      <w:tr w:rsidR="000C76D4" w:rsidRPr="00D05D31" w:rsidTr="00736502">
        <w:trPr>
          <w:trHeight w:val="94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работников: крупных и средних предприятий и некоммерческих организаций,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78 073,0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82 757,0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97 882,0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расходы в расчете на душу населения,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46 140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47 293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57 101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 располагаемые денежные доходы населения, в 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0C76D4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пенсии,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19 750,9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20 469,0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0C76D4" w:rsidRDefault="000C76D4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</w:rPr>
              <w:t>25 013,9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83754F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безработицы, %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83754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83754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83754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0C76D4" w:rsidRPr="00D05D31" w:rsidTr="00736502">
        <w:trPr>
          <w:trHeight w:val="31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83754F" w:rsidRDefault="000C76D4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экономике, тыс. человек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D4" w:rsidRPr="0083754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83754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6D4" w:rsidRPr="0083754F" w:rsidRDefault="000C76D4" w:rsidP="00D0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0C76D4" w:rsidRPr="00D05D31" w:rsidTr="00736502">
        <w:trPr>
          <w:trHeight w:val="315"/>
        </w:trPr>
        <w:tc>
          <w:tcPr>
            <w:tcW w:w="14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D4" w:rsidRPr="00736502" w:rsidRDefault="000C76D4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65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Бюджет и финансы</w:t>
            </w:r>
          </w:p>
        </w:tc>
      </w:tr>
      <w:tr w:rsidR="00736502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02" w:rsidRPr="00736502" w:rsidRDefault="00736502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консолидированного бюджета муниципального образования, в тыс.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3 443 626,3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3 265 599,1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02" w:rsidRPr="00736502" w:rsidRDefault="00736502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3 865 000,0  </w:t>
            </w:r>
          </w:p>
        </w:tc>
      </w:tr>
      <w:tr w:rsidR="00736502" w:rsidRPr="00D05D31" w:rsidTr="00736502">
        <w:trPr>
          <w:trHeight w:val="945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02" w:rsidRPr="00736502" w:rsidRDefault="00736502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отчислений), тыс.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876 403,1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812 840,7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02" w:rsidRPr="00736502" w:rsidRDefault="00736502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>835 322</w:t>
            </w:r>
          </w:p>
        </w:tc>
      </w:tr>
      <w:tr w:rsidR="00736502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02" w:rsidRPr="00736502" w:rsidRDefault="00736502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собственных доходов консолидированного бюджета муниципального образования (без учета субвенций), тыс.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2 328 987,5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2 090 838,6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02" w:rsidRPr="00736502" w:rsidRDefault="00736502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2 319 000,0  </w:t>
            </w:r>
          </w:p>
        </w:tc>
      </w:tr>
      <w:tr w:rsidR="00736502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02" w:rsidRPr="00736502" w:rsidRDefault="00736502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консолидированного бюджета муниципального образования, тыс.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3 493 602,1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3 252 591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02" w:rsidRPr="00736502" w:rsidRDefault="00736502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 xml:space="preserve">3 915 245  </w:t>
            </w:r>
          </w:p>
        </w:tc>
      </w:tr>
      <w:tr w:rsidR="00736502" w:rsidRPr="00D05D31" w:rsidTr="00736502">
        <w:trPr>
          <w:trHeight w:val="630"/>
        </w:trPr>
        <w:tc>
          <w:tcPr>
            <w:tcW w:w="10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02" w:rsidRPr="00736502" w:rsidRDefault="00736502" w:rsidP="00D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муниципального образования на социальную сферу, в общих расходах бюджета Белоярского района, %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02" w:rsidRPr="00736502" w:rsidRDefault="0073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02" w:rsidRPr="00736502" w:rsidRDefault="00736502" w:rsidP="00D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2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</w:tbl>
    <w:p w:rsidR="003D7B49" w:rsidRPr="008265E7" w:rsidRDefault="003D7B49" w:rsidP="003C35C0">
      <w:pPr>
        <w:ind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3C35C0" w:rsidRPr="00560F77" w:rsidRDefault="00560F77" w:rsidP="00560F77">
      <w:pPr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0F77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</w:t>
      </w:r>
    </w:p>
    <w:p w:rsidR="003C35C0" w:rsidRPr="008265E7" w:rsidRDefault="003C35C0" w:rsidP="00560F77">
      <w:pPr>
        <w:ind w:hanging="1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3C35C0" w:rsidRPr="008265E7" w:rsidRDefault="003C35C0" w:rsidP="003C35C0">
      <w:pPr>
        <w:ind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3C35C0" w:rsidRPr="008265E7" w:rsidRDefault="003C35C0" w:rsidP="003C35C0">
      <w:pPr>
        <w:ind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sectPr w:rsidR="003C35C0" w:rsidRPr="008265E7" w:rsidSect="003C35C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A447F" w:rsidRPr="008F2121" w:rsidRDefault="003C35C0" w:rsidP="005639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8F2121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Демо</w:t>
      </w:r>
      <w:r w:rsidR="00AA447F" w:rsidRPr="008F2121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графия</w:t>
      </w:r>
    </w:p>
    <w:p w:rsidR="00943587" w:rsidRPr="008F2121" w:rsidRDefault="00AA447F" w:rsidP="005639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407922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территории Белоярского района за 20</w:t>
      </w:r>
      <w:r w:rsidR="00DE465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8F212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="00407922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родил</w:t>
      </w:r>
      <w:r w:rsidR="00794ACF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ось</w:t>
      </w:r>
      <w:r w:rsidR="00C0170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07922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794ACF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8F212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407922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F212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детей</w:t>
      </w:r>
      <w:r w:rsidR="00C0170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3D7B49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что на </w:t>
      </w:r>
      <w:r w:rsidR="007D09F3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</w:t>
      </w:r>
      <w:r w:rsidR="00794ACF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3D7B49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новорожденных </w:t>
      </w:r>
      <w:r w:rsidR="00DE465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меньше</w:t>
      </w:r>
      <w:r w:rsidR="003D7B49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, чем в 201</w:t>
      </w:r>
      <w:r w:rsidR="008F212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="003D7B49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году. </w:t>
      </w:r>
      <w:r w:rsidR="00DE465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Рождаемость, </w:t>
      </w:r>
      <w:r w:rsidR="00943587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как и в прежние годы, превысила смертность более чем в 2 раза.</w:t>
      </w:r>
    </w:p>
    <w:p w:rsidR="00DE4651" w:rsidRPr="008F2121" w:rsidRDefault="00DE4651" w:rsidP="00DE46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Мигра</w:t>
      </w:r>
      <w:r w:rsidR="008F2121"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>ционное сальдо составило минус 503 человека (-458 человек в 2016</w:t>
      </w:r>
      <w:r w:rsidRPr="008F21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году).</w:t>
      </w:r>
    </w:p>
    <w:p w:rsidR="005639AA" w:rsidRPr="008F2121" w:rsidRDefault="005639AA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AA447F" w:rsidRPr="00721C7F" w:rsidRDefault="00AA447F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721C7F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Промышленность</w:t>
      </w:r>
    </w:p>
    <w:p w:rsidR="00680D60" w:rsidRPr="00721C7F" w:rsidRDefault="00C0599E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r w:rsidR="005F690A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>а 201</w:t>
      </w:r>
      <w:r w:rsidR="00721C7F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="005F690A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</w:t>
      </w:r>
      <w:r w:rsidR="00721C7F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объем промышленного производства (по крупным и средним предприятиям) на территории Белоярского района составил 31 268,6 млн. руб. </w:t>
      </w:r>
      <w:r w:rsidR="00680D60" w:rsidRPr="00721C7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Индекс промышленного производства по </w:t>
      </w:r>
      <w:r w:rsidR="00721C7F" w:rsidRPr="00721C7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Белоярскому </w:t>
      </w:r>
      <w:r w:rsidR="00680D60" w:rsidRPr="00721C7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району </w:t>
      </w:r>
      <w:r w:rsidR="005F690A" w:rsidRPr="00721C7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</w:t>
      </w:r>
      <w:r w:rsidR="00721C7F" w:rsidRPr="00721C7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120,4</w:t>
      </w:r>
      <w:r w:rsidR="005F690A" w:rsidRPr="00721C7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%) </w:t>
      </w:r>
      <w:r w:rsidR="00721C7F" w:rsidRPr="00721C7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опережает среднеокружной (100,7%) и среднероссийский (102</w:t>
      </w:r>
      <w:r w:rsidR="005F690A" w:rsidRPr="00721C7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,1%) уровни. </w:t>
      </w:r>
      <w:r w:rsidR="00E908A6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="00680D60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лагоприятные темпы объемов промышленного производства </w:t>
      </w:r>
      <w:r w:rsidR="00E908A6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связаны </w:t>
      </w:r>
      <w:r w:rsidR="00680D60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>с увеличением  объем</w:t>
      </w:r>
      <w:r w:rsidR="00AA447F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="00680D60" w:rsidRPr="00721C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добычи нефти</w:t>
      </w:r>
      <w:r w:rsidR="00AA44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За </w:t>
      </w:r>
      <w:proofErr w:type="gramStart"/>
      <w:r w:rsidR="00AA44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>201</w:t>
      </w:r>
      <w:r w:rsidR="00721C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 </w:t>
      </w:r>
      <w:r w:rsidR="00AA44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proofErr w:type="gramEnd"/>
      <w:r w:rsidR="00AA44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объем добычи нефти составил </w:t>
      </w:r>
      <w:r w:rsidR="00721C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>2,5</w:t>
      </w:r>
      <w:r w:rsidR="005F690A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5F690A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>млн</w:t>
      </w:r>
      <w:r w:rsidR="00AA44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>.тонн</w:t>
      </w:r>
      <w:proofErr w:type="spellEnd"/>
      <w:r w:rsidR="00680D60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что </w:t>
      </w:r>
      <w:r w:rsidR="000C25DE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>в 1,</w:t>
      </w:r>
      <w:r w:rsidR="00721C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0C25DE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</w:t>
      </w:r>
      <w:r w:rsidR="00721C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0C25DE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превышает</w:t>
      </w:r>
      <w:r w:rsidR="00680D60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уров</w:t>
      </w:r>
      <w:r w:rsidR="000C25DE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>ень</w:t>
      </w:r>
      <w:r w:rsidR="00680D60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201</w:t>
      </w:r>
      <w:r w:rsidR="00721C7F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="00680D60" w:rsidRPr="00F73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года. </w:t>
      </w:r>
    </w:p>
    <w:p w:rsidR="006D7B37" w:rsidRPr="00721C7F" w:rsidRDefault="006D7B37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80D60" w:rsidRPr="00F736FF" w:rsidRDefault="00680D60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6FF">
        <w:rPr>
          <w:rFonts w:ascii="Times New Roman" w:hAnsi="Times New Roman" w:cs="Times New Roman"/>
          <w:b/>
          <w:i/>
          <w:sz w:val="24"/>
          <w:szCs w:val="24"/>
        </w:rPr>
        <w:t>Сельское хозяйство</w:t>
      </w:r>
    </w:p>
    <w:p w:rsidR="00AA447F" w:rsidRPr="00F736FF" w:rsidRDefault="00AA447F" w:rsidP="00784F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0C25DE"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поддержки АПК в 201</w:t>
      </w:r>
      <w:r w:rsidR="00F736FF"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0C25DE"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F736FF"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>63,8</w:t>
      </w: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из них </w:t>
      </w:r>
      <w:r w:rsidR="00F736FF"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>11,1</w:t>
      </w: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за счет средств бюджета Белоярского района.</w:t>
      </w:r>
    </w:p>
    <w:p w:rsidR="00F736FF" w:rsidRDefault="00F736FF" w:rsidP="00F736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агропромышленного комплекса на территории Белоярского района демонстрируют благоприятный прирост: за 2017 год по сравнению с прошлым годом на 2,8% выросло производство кисломолочной продукции (587,1 тонн в 2017 году); в 2,2 раза увеличилось производство шкурок серебристо-чёрных лисиц (2200 штук в 2017 году); в 1,6 раз вырос вылов рыбы (765,8 тонн за 2017 год).</w:t>
      </w:r>
    </w:p>
    <w:p w:rsidR="00F736FF" w:rsidRDefault="00F736FF" w:rsidP="000C25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предприятия агропромышленного комплекса продолжали инвестировать средства на развитие производства. </w:t>
      </w:r>
    </w:p>
    <w:p w:rsidR="00F736FF" w:rsidRPr="00F736FF" w:rsidRDefault="00F736FF" w:rsidP="00F736F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отчетном</w:t>
      </w: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завершились работы по первому этапу реконструкции фермы по производству клеточной пушнины в селе Казым. На звероферме смонтирована и запущена в эксплуатацию блочная котельная, приобретено и установлено новое кормоприготовительное оборудование, построены шеды для содержания более трёх тысяч голов серебристо-чёрных лисиц. </w:t>
      </w:r>
    </w:p>
    <w:p w:rsidR="00F736FF" w:rsidRPr="00F736FF" w:rsidRDefault="00F736FF" w:rsidP="00F736F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проводились работы по строительству двух животноводческих объектов в селе Полноват – ферма по производству мяса птицы и ферма по разведению крупного рогатого скота. Планируется, что объекты начнут функционировать в 2018 году.  </w:t>
      </w:r>
    </w:p>
    <w:p w:rsidR="00F736FF" w:rsidRPr="00F736FF" w:rsidRDefault="00F736FF" w:rsidP="00F736F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крестьянского (фермерского) хозяйства </w:t>
      </w:r>
      <w:proofErr w:type="spellStart"/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Хинчагов</w:t>
      </w:r>
      <w:proofErr w:type="spellEnd"/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Казбек в 2017 году в качестве эксперимента завёз 25 ульев пчёл. По итогам года он успешно собрал и реализовал около 0,5 тонн кипрейного меда.    </w:t>
      </w:r>
    </w:p>
    <w:p w:rsidR="00F736FF" w:rsidRPr="00F736FF" w:rsidRDefault="00F736FF" w:rsidP="00F736F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СП «Белоярское» полностью обеспечивает бюджетные учреждения социальной сферы молочной продукцией и куриными яйцами. Пятнадцать видов молочной продукции цеха по переработке молока реализуется через сетевые магазины.  Шкурки серебристо-чёрных лисиц реализуются в Новосибирске, Екатеринбурге. </w:t>
      </w:r>
    </w:p>
    <w:p w:rsidR="0000392E" w:rsidRPr="00721C7F" w:rsidRDefault="00D06C78" w:rsidP="000C25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1C7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14F15" w:rsidRPr="003356A8" w:rsidRDefault="00B4214A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4F15" w:rsidRPr="003356A8">
        <w:rPr>
          <w:rFonts w:ascii="Times New Roman" w:hAnsi="Times New Roman" w:cs="Times New Roman"/>
          <w:b/>
          <w:i/>
          <w:sz w:val="24"/>
          <w:szCs w:val="24"/>
        </w:rPr>
        <w:t>Малый бизнес</w:t>
      </w:r>
    </w:p>
    <w:p w:rsidR="007F46CA" w:rsidRPr="003356A8" w:rsidRDefault="00C14F15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A8">
        <w:rPr>
          <w:rFonts w:ascii="Times New Roman" w:hAnsi="Times New Roman" w:cs="Times New Roman"/>
          <w:sz w:val="24"/>
          <w:szCs w:val="24"/>
        </w:rPr>
        <w:tab/>
      </w:r>
      <w:r w:rsidR="00680D60" w:rsidRPr="003356A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356A8" w:rsidRPr="003356A8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680D60" w:rsidRPr="003356A8">
        <w:rPr>
          <w:rFonts w:ascii="Times New Roman" w:hAnsi="Times New Roman" w:cs="Times New Roman"/>
          <w:sz w:val="24"/>
          <w:szCs w:val="24"/>
        </w:rPr>
        <w:t>района осуществляют свою деятельность 1 0</w:t>
      </w:r>
      <w:r w:rsidR="003356A8" w:rsidRPr="003356A8">
        <w:rPr>
          <w:rFonts w:ascii="Times New Roman" w:hAnsi="Times New Roman" w:cs="Times New Roman"/>
          <w:sz w:val="24"/>
          <w:szCs w:val="24"/>
        </w:rPr>
        <w:t>50</w:t>
      </w:r>
      <w:r w:rsidR="00680D60" w:rsidRPr="003356A8">
        <w:rPr>
          <w:rFonts w:ascii="Times New Roman" w:hAnsi="Times New Roman" w:cs="Times New Roman"/>
          <w:sz w:val="24"/>
          <w:szCs w:val="24"/>
        </w:rPr>
        <w:t xml:space="preserve"> субъектов малого </w:t>
      </w:r>
      <w:r w:rsidR="003356A8" w:rsidRPr="003356A8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680D60" w:rsidRPr="003356A8">
        <w:rPr>
          <w:rFonts w:ascii="Times New Roman" w:hAnsi="Times New Roman" w:cs="Times New Roman"/>
          <w:sz w:val="24"/>
          <w:szCs w:val="24"/>
        </w:rPr>
        <w:t xml:space="preserve"> с численностью занятых 24,</w:t>
      </w:r>
      <w:r w:rsidR="003356A8" w:rsidRPr="003356A8">
        <w:rPr>
          <w:rFonts w:ascii="Times New Roman" w:hAnsi="Times New Roman" w:cs="Times New Roman"/>
          <w:sz w:val="24"/>
          <w:szCs w:val="24"/>
        </w:rPr>
        <w:t>6</w:t>
      </w:r>
      <w:r w:rsidR="00680D60" w:rsidRPr="003356A8">
        <w:rPr>
          <w:rFonts w:ascii="Times New Roman" w:hAnsi="Times New Roman" w:cs="Times New Roman"/>
          <w:sz w:val="24"/>
          <w:szCs w:val="24"/>
        </w:rPr>
        <w:t>%</w:t>
      </w:r>
      <w:r w:rsidR="00C0599E" w:rsidRPr="003356A8">
        <w:rPr>
          <w:rFonts w:ascii="Times New Roman" w:hAnsi="Times New Roman" w:cs="Times New Roman"/>
          <w:sz w:val="24"/>
          <w:szCs w:val="24"/>
        </w:rPr>
        <w:t xml:space="preserve"> от общей численности </w:t>
      </w:r>
      <w:r w:rsidR="003356A8" w:rsidRPr="003356A8">
        <w:rPr>
          <w:rFonts w:ascii="Times New Roman" w:hAnsi="Times New Roman" w:cs="Times New Roman"/>
          <w:sz w:val="24"/>
          <w:szCs w:val="24"/>
        </w:rPr>
        <w:t xml:space="preserve">всех </w:t>
      </w:r>
      <w:r w:rsidR="00C0599E" w:rsidRPr="003356A8">
        <w:rPr>
          <w:rFonts w:ascii="Times New Roman" w:hAnsi="Times New Roman" w:cs="Times New Roman"/>
          <w:sz w:val="24"/>
          <w:szCs w:val="24"/>
        </w:rPr>
        <w:t>работающих</w:t>
      </w:r>
      <w:r w:rsidR="007F46CA" w:rsidRPr="003356A8">
        <w:rPr>
          <w:rFonts w:ascii="Times New Roman" w:hAnsi="Times New Roman" w:cs="Times New Roman"/>
          <w:sz w:val="24"/>
          <w:szCs w:val="24"/>
        </w:rPr>
        <w:t>.</w:t>
      </w:r>
    </w:p>
    <w:p w:rsidR="007F46CA" w:rsidRPr="003356A8" w:rsidRDefault="007F46CA" w:rsidP="007F46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A8">
        <w:rPr>
          <w:rFonts w:ascii="Times New Roman" w:hAnsi="Times New Roman" w:cs="Times New Roman"/>
          <w:sz w:val="24"/>
          <w:szCs w:val="24"/>
        </w:rPr>
        <w:t>Общий объем финансовой поддержки малого бизнеса за счет</w:t>
      </w:r>
      <w:r w:rsidR="003356A8" w:rsidRPr="003356A8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  <w:r w:rsidRPr="003356A8">
        <w:rPr>
          <w:rFonts w:ascii="Times New Roman" w:hAnsi="Times New Roman" w:cs="Times New Roman"/>
          <w:sz w:val="24"/>
          <w:szCs w:val="24"/>
        </w:rPr>
        <w:t xml:space="preserve"> в 201</w:t>
      </w:r>
      <w:r w:rsidR="003356A8" w:rsidRPr="003356A8">
        <w:rPr>
          <w:rFonts w:ascii="Times New Roman" w:hAnsi="Times New Roman" w:cs="Times New Roman"/>
          <w:sz w:val="24"/>
          <w:szCs w:val="24"/>
        </w:rPr>
        <w:t>7</w:t>
      </w:r>
      <w:r w:rsidRPr="003356A8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3356A8" w:rsidRPr="003356A8">
        <w:rPr>
          <w:rFonts w:ascii="Times New Roman" w:hAnsi="Times New Roman" w:cs="Times New Roman"/>
          <w:sz w:val="24"/>
          <w:szCs w:val="24"/>
        </w:rPr>
        <w:t>9,9 млн. рублей, в том числе 4,4</w:t>
      </w:r>
      <w:r w:rsidRPr="003356A8">
        <w:rPr>
          <w:rFonts w:ascii="Times New Roman" w:hAnsi="Times New Roman" w:cs="Times New Roman"/>
          <w:sz w:val="24"/>
          <w:szCs w:val="24"/>
        </w:rPr>
        <w:t xml:space="preserve"> млн. рублей за счет средств бюджета Белоярского района. </w:t>
      </w:r>
    </w:p>
    <w:p w:rsidR="00D47C7B" w:rsidRPr="003356A8" w:rsidRDefault="00D47C7B" w:rsidP="00D47C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A8">
        <w:rPr>
          <w:rFonts w:ascii="Times New Roman" w:hAnsi="Times New Roman" w:cs="Times New Roman"/>
          <w:sz w:val="24"/>
          <w:szCs w:val="24"/>
        </w:rPr>
        <w:t>На территории  района созданы условия для удовлетворения спроса населения на потребительские товары и услуги, формирования конкурентной среды, отмечается  активное увеличение сетевых форматов торговли.</w:t>
      </w:r>
    </w:p>
    <w:p w:rsidR="003356A8" w:rsidRPr="003356A8" w:rsidRDefault="003356A8" w:rsidP="003356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на территории торгово-развлекательного центра «Оазис Плаза» открылись кафе азиатской кухни «Суши Мастер», магазин модной детской одежды «Комод», магазин парфюмерии, косметики, бытовой химии «</w:t>
      </w:r>
      <w:proofErr w:type="spellStart"/>
      <w:r w:rsidRPr="003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</w:t>
      </w:r>
      <w:proofErr w:type="spellEnd"/>
      <w:r w:rsidRPr="003356A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магазин мебели, магазин торговой сети канцелярских товаров «Роллер», детский сетевой магазин «Детский мир», магазин цифровой и бытовой техники «DNS». Кроме того на территории торгового центра состоялось открытие новой пекарни УМП «ГЦТ» и магазина под названием «Хлеб нашего города» общей торговой площадью 50 квадратных метров.</w:t>
      </w:r>
      <w:r w:rsidRPr="003356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356A8" w:rsidRPr="00840C2E" w:rsidRDefault="003356A8" w:rsidP="003356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«Архитектурная студия АРС-проект»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Pr="003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приступило к строительству двухэтажного торгово</w:t>
      </w:r>
      <w:r w:rsidRPr="0084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-офисного центра в </w:t>
      </w:r>
      <w:proofErr w:type="spellStart"/>
      <w:r w:rsidRPr="00840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4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3А г. Белоярский общей площадью 728 кв.м. </w:t>
      </w:r>
    </w:p>
    <w:p w:rsidR="00784FDE" w:rsidRPr="00840C2E" w:rsidRDefault="00D47C7B" w:rsidP="00D47C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2E">
        <w:rPr>
          <w:rFonts w:ascii="Times New Roman" w:hAnsi="Times New Roman" w:cs="Times New Roman"/>
          <w:sz w:val="24"/>
          <w:szCs w:val="24"/>
        </w:rPr>
        <w:t>В 201</w:t>
      </w:r>
      <w:r w:rsidR="003356A8" w:rsidRPr="00840C2E">
        <w:rPr>
          <w:rFonts w:ascii="Times New Roman" w:hAnsi="Times New Roman" w:cs="Times New Roman"/>
          <w:sz w:val="24"/>
          <w:szCs w:val="24"/>
        </w:rPr>
        <w:t>7</w:t>
      </w:r>
      <w:r w:rsidRPr="00840C2E">
        <w:rPr>
          <w:rFonts w:ascii="Times New Roman" w:hAnsi="Times New Roman" w:cs="Times New Roman"/>
          <w:sz w:val="24"/>
          <w:szCs w:val="24"/>
        </w:rPr>
        <w:t xml:space="preserve"> году между Белоярским районом и городом Витебск Республики Беларусь заключено </w:t>
      </w:r>
      <w:r w:rsidR="003356A8" w:rsidRPr="00840C2E">
        <w:rPr>
          <w:rFonts w:ascii="Times New Roman" w:hAnsi="Times New Roman" w:cs="Times New Roman"/>
          <w:sz w:val="24"/>
          <w:szCs w:val="24"/>
        </w:rPr>
        <w:t xml:space="preserve">продолжилось </w:t>
      </w:r>
      <w:r w:rsidRPr="00840C2E">
        <w:rPr>
          <w:rFonts w:ascii="Times New Roman" w:hAnsi="Times New Roman" w:cs="Times New Roman"/>
          <w:sz w:val="24"/>
          <w:szCs w:val="24"/>
        </w:rPr>
        <w:t>сотрудничеств</w:t>
      </w:r>
      <w:r w:rsidR="003356A8" w:rsidRPr="00840C2E">
        <w:rPr>
          <w:rFonts w:ascii="Times New Roman" w:hAnsi="Times New Roman" w:cs="Times New Roman"/>
          <w:sz w:val="24"/>
          <w:szCs w:val="24"/>
        </w:rPr>
        <w:t>о</w:t>
      </w:r>
      <w:r w:rsidRPr="00840C2E">
        <w:rPr>
          <w:rFonts w:ascii="Times New Roman" w:hAnsi="Times New Roman" w:cs="Times New Roman"/>
          <w:sz w:val="24"/>
          <w:szCs w:val="24"/>
        </w:rPr>
        <w:t xml:space="preserve">, одним из аспектов которого является производственный товарообмен. </w:t>
      </w:r>
      <w:r w:rsidR="00210FDA" w:rsidRPr="00840C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4687" w:rsidRPr="00840C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7F4E" w:rsidRPr="00840C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47C7B" w:rsidRPr="00721C7F" w:rsidRDefault="004D5B32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21C7F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C01701" w:rsidRPr="00DE04CF" w:rsidRDefault="00AB6861" w:rsidP="00D47C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4CF">
        <w:rPr>
          <w:rFonts w:ascii="Times New Roman" w:hAnsi="Times New Roman" w:cs="Times New Roman"/>
          <w:b/>
          <w:i/>
          <w:sz w:val="24"/>
          <w:szCs w:val="24"/>
        </w:rPr>
        <w:t>Инвестиции</w:t>
      </w:r>
    </w:p>
    <w:p w:rsidR="00A765C0" w:rsidRPr="00DE04CF" w:rsidRDefault="00A765C0" w:rsidP="00A765C0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предварительным данным объем инвестиций в основной капитал за счет всех источников финансирования по крупным и </w:t>
      </w:r>
      <w:proofErr w:type="gramStart"/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  предприятиям</w:t>
      </w:r>
      <w:proofErr w:type="gramEnd"/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201</w:t>
      </w:r>
      <w:r w:rsidR="00DE04CF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DE04CF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16,2</w:t>
      </w: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рублей</w:t>
      </w:r>
      <w:r w:rsidR="00DE04CF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7% выше, чем в 2016 году.</w:t>
      </w: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DE04CF" w:rsidRPr="00DE04CF" w:rsidRDefault="00DE04CF" w:rsidP="00DE04CF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Объем инвестиций на каждого жителя района составил 554 тыс. руб., что в 5,3 раза больше, чем в целом по России.</w:t>
      </w:r>
    </w:p>
    <w:p w:rsidR="00DE04CF" w:rsidRPr="00DE04CF" w:rsidRDefault="00DE04CF" w:rsidP="00DE04CF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2017 году введены в эксплуатацию следующие объекты:</w:t>
      </w:r>
    </w:p>
    <w:p w:rsidR="00DE04CF" w:rsidRPr="00DE04CF" w:rsidRDefault="00DE04CF" w:rsidP="00DE04C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инженерные сети микрорайона 3А г. Белоярский. 2 этап;</w:t>
      </w:r>
    </w:p>
    <w:p w:rsidR="00DE04CF" w:rsidRPr="00DE04CF" w:rsidRDefault="00DE04CF" w:rsidP="00DE04C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реконструкция сети перегретой воды в районе 7 микрорайона г.Белоярский;</w:t>
      </w:r>
    </w:p>
    <w:p w:rsidR="00DE04CF" w:rsidRPr="00DE04CF" w:rsidRDefault="00DE04CF" w:rsidP="00DE04C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пожарные резервуары в г. Белоярский и с. Полноват;</w:t>
      </w:r>
    </w:p>
    <w:p w:rsidR="00DE04CF" w:rsidRPr="00DE04CF" w:rsidRDefault="00DE04CF" w:rsidP="00DE04C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реконструкция водоочистных сооружений КС </w:t>
      </w:r>
      <w:proofErr w:type="spellStart"/>
      <w:r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Сорумская</w:t>
      </w:r>
      <w:proofErr w:type="spellEnd"/>
      <w:r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п. Сорум Белоярского района;</w:t>
      </w:r>
    </w:p>
    <w:p w:rsidR="00DE04CF" w:rsidRPr="00DE04CF" w:rsidRDefault="00DE04CF" w:rsidP="00DE04C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соглашения с ПАО «Лукойл» введен в эксплуатацию храм в честь Всех </w:t>
      </w:r>
      <w:proofErr w:type="gramStart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Святых  в</w:t>
      </w:r>
      <w:proofErr w:type="gramEnd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Белоярском. </w:t>
      </w:r>
    </w:p>
    <w:p w:rsidR="00DE04CF" w:rsidRPr="00DE04CF" w:rsidRDefault="00DE04CF" w:rsidP="00DE04C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2017 году завершено строительство межшкольного технопарка в г. Белоярский. В технопарке будут проводить не только уроки информатики, физики, биологии, но и организуют проектную деятельность.</w:t>
      </w:r>
    </w:p>
    <w:p w:rsidR="00DE04CF" w:rsidRPr="00DE04CF" w:rsidRDefault="00DE04CF" w:rsidP="00DE04C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2017 году состоялось открытие столовой и общежития для работников на нефтяном месторождении имени Владимира Виноградова</w:t>
      </w:r>
      <w:r w:rsidRPr="00DE04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АО «</w:t>
      </w:r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РИТЭК» всегда был социально ответственным предприятием и ввод в эксплуатацию данных объектов – лучшее тому доказательство. </w:t>
      </w:r>
    </w:p>
    <w:p w:rsidR="00DE04CF" w:rsidRPr="00DE04CF" w:rsidRDefault="00DE04CF" w:rsidP="00DE04C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2017 году запущена в эксплуатацию освещенная лыжная трасса в поселке Лыхма. Реализация данного проекта осуществлялась на паритетных условиях с Бобровским ЛПУ МГ ООО «Газпром </w:t>
      </w:r>
      <w:proofErr w:type="spellStart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трансгаз</w:t>
      </w:r>
      <w:proofErr w:type="spellEnd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Югорск».</w:t>
      </w:r>
    </w:p>
    <w:p w:rsidR="00DE04CF" w:rsidRPr="00DE04CF" w:rsidRDefault="00DE04CF" w:rsidP="00DE0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счет средств ООО «Газпром </w:t>
      </w:r>
      <w:proofErr w:type="spellStart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трансгаз</w:t>
      </w:r>
      <w:proofErr w:type="spellEnd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Югорск» в 2017 году продолжалось строительство физкультурно-оздоровительного комплекса с бассейном в п. Верхнеказымский, ввод  которого запланирован уже в 2018 году. </w:t>
      </w:r>
    </w:p>
    <w:p w:rsidR="00DE04CF" w:rsidRPr="00DE04CF" w:rsidRDefault="00DE04CF" w:rsidP="00DE04C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2017 </w:t>
      </w:r>
      <w:proofErr w:type="gramStart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году  проведены</w:t>
      </w:r>
      <w:proofErr w:type="gramEnd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работы по проектированию объекта «Обеспечение водоснабжением г. Белоярский», в рамках которого на условиях </w:t>
      </w:r>
      <w:proofErr w:type="spellStart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софинансирования</w:t>
      </w:r>
      <w:proofErr w:type="spellEnd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планируется реконструкция существующих ВОС и водозабора в г. Белоярский. В этом году планируем приступить к строительству данного объекта. </w:t>
      </w:r>
    </w:p>
    <w:p w:rsidR="00DE04CF" w:rsidRPr="00DE04CF" w:rsidRDefault="00DE04CF" w:rsidP="00DE0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 с ПАО "Газпром"  продолжается   строительство дороги до п. Сосновка. Учитывая сезонность проведения строительных работ, завершение строительства объекта запланировано до 1 октября 2018 года. На сегодняшний день по строящейся дороге открыто движение.</w:t>
      </w:r>
    </w:p>
    <w:p w:rsidR="00DE04CF" w:rsidRPr="00DE04CF" w:rsidRDefault="00DE04CF" w:rsidP="00DE04C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2017 году на условиях </w:t>
      </w:r>
      <w:proofErr w:type="spellStart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софинансирования</w:t>
      </w:r>
      <w:proofErr w:type="spellEnd"/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приступили к реконструкции участка объездной автомобильной дороги в 6 микрорайоне, укладка асфальтобетонного покрытия запланирована на 2018 год.</w:t>
      </w:r>
    </w:p>
    <w:p w:rsidR="00DE04CF" w:rsidRPr="00DE04CF" w:rsidRDefault="00DE04CF" w:rsidP="00DE04C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Одной из проблем для Белоярского района остается реконструкция участка дороги из трех плит от Т - образного перекрестка в сторону п. Лыхма. При поддержке Правительства Ханты-Мансийского автономного округа – Югры, Губернатора Ханты-Мансийского автономного округа - Югры Н.В. Комаровой в настоящее время получено согласие от ПАО « Газпром»  о передаче участка дороги на баланс Ханты-Мансийскому автономному округу – Югре, что дает надежду на реконструкцию дороги в ближайшее время.</w:t>
      </w:r>
    </w:p>
    <w:p w:rsidR="00DE04CF" w:rsidRPr="00DE04CF" w:rsidRDefault="00DE04CF" w:rsidP="00DE0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стартовала федеральная программа по созданию комфортной среды. В Белоярском районе реализация проекта ведется по двум направлениям – общественные и дворовые зоны. В 2017 году в проект вошли три «точки»: это второй этап благоустройства </w:t>
      </w:r>
      <w:proofErr w:type="spellStart"/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Набарежной</w:t>
      </w:r>
      <w:proofErr w:type="spellEnd"/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г.Белоярский и площади в с. Казым (с установкой Мемориала Славы), а также один из дворов в микрорайоне Мирный г. Белоярский. </w:t>
      </w:r>
    </w:p>
    <w:p w:rsidR="00DE04CF" w:rsidRPr="00DE04CF" w:rsidRDefault="00DE04CF" w:rsidP="00DE0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«благоустройство  Набережной» в 2017 году выполнены работы по укладке террасной доски, тротуарной плитки, забетонирован нулевой уровень сцены, установлены опоры освещения, а также уже завезены металлоконструкции для дальнейшего строительства сцены. </w:t>
      </w:r>
    </w:p>
    <w:p w:rsidR="00DE04CF" w:rsidRPr="00DE04CF" w:rsidRDefault="00DE04CF" w:rsidP="00DE0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2017 году продолжены работы по реализации концепции уличного освещения города: выполнена подсветка зданий МАУК «Центр культуры и досуга «Камертон», гостиницы «Карибу», Центра бокса, Детской школы искусств, жилого дома №15 в 1 микрорайоне. </w:t>
      </w:r>
    </w:p>
    <w:p w:rsidR="00DE04CF" w:rsidRPr="00DE04CF" w:rsidRDefault="00DE04CF" w:rsidP="00DE04C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современной инфраструктуры связи – очень важный аспект социально экономического развития нашего района. Обеспечение максимальной доступности интернет-услуг – одна из приоритетных задач органов местного самоуправления Белоярского района.</w:t>
      </w:r>
    </w:p>
    <w:p w:rsidR="00DE04CF" w:rsidRPr="00DE04CF" w:rsidRDefault="00DE04CF" w:rsidP="00DE04C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В 2017 году завершено строительство магистральной волоконно-оптической линии связи, в результате чего жителям района стали доступны услуги современного высокоскоростного доступа в сеть Интернет.</w:t>
      </w:r>
    </w:p>
    <w:p w:rsidR="00DE04CF" w:rsidRPr="00DE04CF" w:rsidRDefault="00DE04CF" w:rsidP="00DE04C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 провайдеры, такие как МТС, Ростелеком, Мотив, Мегафон активно используют ВОЛС при предоставлении населению услуг связи. Конкуренция на рынке услуг связи привела к значительному увеличению качества предоставляемых услуг и сформировала цены, приемлемые для конечных потребителей.</w:t>
      </w:r>
    </w:p>
    <w:p w:rsidR="00DE04CF" w:rsidRPr="00DE04CF" w:rsidRDefault="00DE04CF" w:rsidP="00DE04CF">
      <w:pPr>
        <w:tabs>
          <w:tab w:val="center" w:pos="4879"/>
        </w:tabs>
        <w:spacing w:after="0"/>
        <w:ind w:left="576" w:firstLine="72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E04CF" w:rsidRPr="00DE04CF" w:rsidRDefault="00DE04CF" w:rsidP="00DE04CF">
      <w:pPr>
        <w:tabs>
          <w:tab w:val="center" w:pos="4879"/>
        </w:tabs>
        <w:spacing w:after="0"/>
        <w:ind w:left="576" w:hanging="576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</w:pPr>
      <w:r w:rsidRPr="00DE04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Жилищная политика</w:t>
      </w:r>
    </w:p>
    <w:p w:rsidR="00DE04CF" w:rsidRPr="00DE04CF" w:rsidRDefault="00DE04CF" w:rsidP="00DE04CF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E04CF" w:rsidRPr="00DE04CF" w:rsidRDefault="00DE04CF" w:rsidP="00DE04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Строительство доступного и комфортного жилья всегда было одной из ключевых задач для любой территории. Во всех населенных пунктах, даже самых маленьких, в  2017 году продолжалось строительство жилья.</w:t>
      </w:r>
    </w:p>
    <w:p w:rsidR="00DE04CF" w:rsidRPr="00DE04CF" w:rsidRDefault="00DE04CF" w:rsidP="00DE04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2017 год на территории Белоярского района введено 7 661,1 кв.м. жилья, в </w:t>
      </w:r>
      <w:proofErr w:type="spellStart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. ИЖС -1 102,6 кв.м.</w:t>
      </w:r>
    </w:p>
    <w:p w:rsidR="00DE04CF" w:rsidRPr="00DE04CF" w:rsidRDefault="00DE04CF" w:rsidP="00DE04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жильем по району за 2017 год составила 23,0 м2 на человека, что выше на 11%, чем в среднем по Югре (20,7 м2).</w:t>
      </w:r>
    </w:p>
    <w:p w:rsidR="00DE04CF" w:rsidRPr="00DE04CF" w:rsidRDefault="00DE04CF" w:rsidP="00DE04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Белоярский район успешно выполняет программу сноса ветхого жилья. За 2017 год на территории района снесено 22 многоквартирных </w:t>
      </w:r>
      <w:proofErr w:type="gramStart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дома  (</w:t>
      </w:r>
      <w:proofErr w:type="gramEnd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дома в городе Белоярском,       5 домов в п. </w:t>
      </w:r>
      <w:proofErr w:type="spellStart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Верхнеказымском</w:t>
      </w:r>
      <w:proofErr w:type="spellEnd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5 домов в с. Казым, 4 дома в </w:t>
      </w:r>
      <w:proofErr w:type="spellStart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п.Сорум</w:t>
      </w:r>
      <w:proofErr w:type="spellEnd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 по 3 дома в </w:t>
      </w:r>
      <w:proofErr w:type="spellStart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п.Лыхма</w:t>
      </w:r>
      <w:proofErr w:type="spellEnd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п.Сосновка</w:t>
      </w:r>
      <w:proofErr w:type="spellEnd"/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DE04CF" w:rsidRPr="00DE04CF" w:rsidRDefault="00DE04CF" w:rsidP="00DE04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В конце 2017 года Правительством Ханты-Мансийского автономного округа - Югры было дополнительно выделено 150 млн. руб. на строительство жилья в Белоярском районе, в первую очередь для переселения граждан из ветхого, аварийного жилья.</w:t>
      </w:r>
    </w:p>
    <w:p w:rsidR="00DE04CF" w:rsidRPr="00DE04CF" w:rsidRDefault="00DE04CF" w:rsidP="00DE04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снижения объема ветхого жилищного фонда в 2017 году проведен  капитальный ремонт 5 многоквартирных домов  в г. Белоярском на сумму 65,8 млн. руб. </w:t>
      </w:r>
    </w:p>
    <w:p w:rsidR="00DE04CF" w:rsidRPr="00DE04CF" w:rsidRDefault="00DE04CF" w:rsidP="00DE04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Белоярском районе созданы все условия по улучшению жилищных условий для граждан. Порядка 300 семей в 2017 году улучшили жилищные условия. </w:t>
      </w:r>
    </w:p>
    <w:p w:rsidR="00DE04CF" w:rsidRPr="00DE04CF" w:rsidRDefault="00DE04CF" w:rsidP="00DE04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Одна из задач Правительства Российской Федерации до конца 2018 года - обеспечить многодетные семьи бесплатными земельными участками или другими формами поддержки. Решением Думы Белоярского района от 29.07.2016 №41 «Об утверждении Порядка продажи жилых помещений, находящихся в муниципальной собственности Белоярского района, гражданам, имеющим трех и более детей» предусмотрена мера муниципальной поддержки семей путем предоставления им беспроцентной рассрочки на приобретаемые жилые помещения. В 2017 году 10 многодетных семей улучшили жилищные условия в рамках окружной программы. 1 многодетная семья из желающих бесплатно приобрести земельные участки для ИЖС приобрела квартиру на условиях оплаты стоимости жилого помещения в беспроцентную рассрочку. </w:t>
      </w:r>
    </w:p>
    <w:p w:rsidR="00DE04CF" w:rsidRPr="00DE04CF" w:rsidRDefault="00DE04CF" w:rsidP="00DE04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Calibri" w:hAnsi="Times New Roman" w:cs="Times New Roman"/>
          <w:sz w:val="24"/>
          <w:szCs w:val="24"/>
          <w:lang w:eastAsia="ru-RU"/>
        </w:rPr>
        <w:t>В 2017 году предоставлены  земельные участки на бесплатной основе с необходимыми инженерными сетями и коммуникациями  4 многодетным семьям и 3 ветеранам боевых действий.</w:t>
      </w:r>
    </w:p>
    <w:p w:rsidR="00A765C0" w:rsidRPr="00721C7F" w:rsidRDefault="00A765C0" w:rsidP="00DE04C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1094" w:rsidRPr="008F2121" w:rsidRDefault="00F71FEF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C7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A1094" w:rsidRPr="008F2121">
        <w:rPr>
          <w:rFonts w:ascii="Times New Roman" w:hAnsi="Times New Roman" w:cs="Times New Roman"/>
          <w:b/>
          <w:i/>
          <w:sz w:val="24"/>
          <w:szCs w:val="24"/>
        </w:rPr>
        <w:t>Развитие социальной сферы</w:t>
      </w:r>
    </w:p>
    <w:p w:rsidR="00735C16" w:rsidRPr="008F2121" w:rsidRDefault="00735C16" w:rsidP="00DE46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121">
        <w:rPr>
          <w:rFonts w:ascii="Times New Roman" w:eastAsia="Calibri" w:hAnsi="Times New Roman" w:cs="Times New Roman"/>
          <w:sz w:val="24"/>
          <w:szCs w:val="24"/>
        </w:rPr>
        <w:t xml:space="preserve">У нас достаточно высокие показатели развития   социальной сферы. </w:t>
      </w:r>
    </w:p>
    <w:p w:rsidR="008F2121" w:rsidRPr="008F2121" w:rsidRDefault="00735C16" w:rsidP="00DE46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121">
        <w:rPr>
          <w:rFonts w:ascii="Times New Roman" w:eastAsia="Calibri" w:hAnsi="Times New Roman" w:cs="Times New Roman"/>
          <w:sz w:val="24"/>
          <w:szCs w:val="24"/>
        </w:rPr>
        <w:t>В районе досрочно выполнены Указ Президента Российской Федерации Владимира Владимировича Пу</w:t>
      </w:r>
      <w:r w:rsidR="00DE4651" w:rsidRPr="008F2121">
        <w:rPr>
          <w:rFonts w:ascii="Times New Roman" w:eastAsia="Calibri" w:hAnsi="Times New Roman" w:cs="Times New Roman"/>
          <w:sz w:val="24"/>
          <w:szCs w:val="24"/>
        </w:rPr>
        <w:t xml:space="preserve">тина по достижению к 2018 году </w:t>
      </w:r>
      <w:r w:rsidRPr="008F2121">
        <w:rPr>
          <w:rFonts w:ascii="Times New Roman" w:eastAsia="Calibri" w:hAnsi="Times New Roman" w:cs="Times New Roman"/>
          <w:sz w:val="24"/>
          <w:szCs w:val="24"/>
        </w:rPr>
        <w:t xml:space="preserve">100% доступности детских садов.  За последние 5 лет полностью ликвидирована очередность на получение места в детском саду. </w:t>
      </w:r>
    </w:p>
    <w:p w:rsidR="00DE4651" w:rsidRPr="008F2121" w:rsidRDefault="00735C16" w:rsidP="00DE46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121">
        <w:rPr>
          <w:rFonts w:ascii="Times New Roman" w:eastAsia="Calibri" w:hAnsi="Times New Roman" w:cs="Times New Roman"/>
          <w:sz w:val="24"/>
          <w:szCs w:val="24"/>
        </w:rPr>
        <w:t>В районе досрочно выполнено поручение Президента Российской Федерации Владимира Путина о переводе школ на односмен</w:t>
      </w:r>
      <w:r w:rsidR="00DE4651" w:rsidRPr="008F2121">
        <w:rPr>
          <w:rFonts w:ascii="Times New Roman" w:eastAsia="Calibri" w:hAnsi="Times New Roman" w:cs="Times New Roman"/>
          <w:sz w:val="24"/>
          <w:szCs w:val="24"/>
        </w:rPr>
        <w:t>ный режим работы.</w:t>
      </w:r>
    </w:p>
    <w:p w:rsidR="00DE4651" w:rsidRPr="008F2121" w:rsidRDefault="00DE4651" w:rsidP="00DE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121">
        <w:rPr>
          <w:rFonts w:ascii="Times New Roman" w:hAnsi="Times New Roman" w:cs="Times New Roman"/>
          <w:sz w:val="24"/>
          <w:szCs w:val="24"/>
        </w:rPr>
        <w:t>Доля населения, активно занимающегося физической кул</w:t>
      </w:r>
      <w:r w:rsidR="008F2121" w:rsidRPr="008F2121">
        <w:rPr>
          <w:rFonts w:ascii="Times New Roman" w:hAnsi="Times New Roman" w:cs="Times New Roman"/>
          <w:sz w:val="24"/>
          <w:szCs w:val="24"/>
        </w:rPr>
        <w:t>ьтурой и спортом, составила 41,2</w:t>
      </w:r>
      <w:r w:rsidRPr="008F2121">
        <w:rPr>
          <w:rFonts w:ascii="Times New Roman" w:hAnsi="Times New Roman" w:cs="Times New Roman"/>
          <w:sz w:val="24"/>
          <w:szCs w:val="24"/>
        </w:rPr>
        <w:t xml:space="preserve"> % от общей численности населени</w:t>
      </w:r>
      <w:r w:rsidR="008F2121" w:rsidRPr="008F2121">
        <w:rPr>
          <w:rFonts w:ascii="Times New Roman" w:hAnsi="Times New Roman" w:cs="Times New Roman"/>
          <w:sz w:val="24"/>
          <w:szCs w:val="24"/>
        </w:rPr>
        <w:t>я Белоярского района, что на 0,5</w:t>
      </w:r>
      <w:r w:rsidRPr="008F2121">
        <w:rPr>
          <w:rFonts w:ascii="Times New Roman" w:hAnsi="Times New Roman" w:cs="Times New Roman"/>
          <w:sz w:val="24"/>
          <w:szCs w:val="24"/>
        </w:rPr>
        <w:t xml:space="preserve">% больше, чем в </w:t>
      </w:r>
      <w:r w:rsidR="007D09F3" w:rsidRPr="008F21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2121">
        <w:rPr>
          <w:rFonts w:ascii="Times New Roman" w:hAnsi="Times New Roman" w:cs="Times New Roman"/>
          <w:sz w:val="24"/>
          <w:szCs w:val="24"/>
        </w:rPr>
        <w:t>201</w:t>
      </w:r>
      <w:r w:rsidR="008F2121" w:rsidRPr="008F2121">
        <w:rPr>
          <w:rFonts w:ascii="Times New Roman" w:hAnsi="Times New Roman" w:cs="Times New Roman"/>
          <w:sz w:val="24"/>
          <w:szCs w:val="24"/>
        </w:rPr>
        <w:t>6</w:t>
      </w:r>
      <w:r w:rsidRPr="008F212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F2121" w:rsidRPr="008F2121" w:rsidRDefault="008F2121" w:rsidP="008F21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121">
        <w:rPr>
          <w:rFonts w:ascii="Times New Roman" w:hAnsi="Times New Roman" w:cs="Times New Roman"/>
          <w:sz w:val="24"/>
          <w:szCs w:val="24"/>
        </w:rPr>
        <w:t>В 2017 году спортсмены Белоярского района завоевали на соревнованиях окружного, всероссийского и международного уровней 400 медалей (2016 год – 395), 102 из которых – золотые.</w:t>
      </w:r>
    </w:p>
    <w:p w:rsidR="008F2121" w:rsidRPr="008F2121" w:rsidRDefault="008F2121" w:rsidP="008F212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окружном конкурсе «Лучший лагерь «ХМАО-Югры» база спорта и отдыха «Северянка» заняла 1 место в номинации «Лучший загородный оздоровительный лагерь».</w:t>
      </w:r>
      <w:r w:rsidRPr="008F2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DE4651" w:rsidRPr="00721C7F" w:rsidRDefault="00DE4651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F03195" w:rsidRDefault="00F03195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1EE6" w:rsidRPr="00DE04CF" w:rsidRDefault="00781EE6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жизни</w:t>
      </w:r>
    </w:p>
    <w:p w:rsidR="00DE04CF" w:rsidRPr="00DE04CF" w:rsidRDefault="00DE04CF" w:rsidP="00DE0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Среднедушевые денежные доходы населения Белоярского района за 2017 год предварительно составили 47 293 руб., увеличившись на 2,5% к уровню 2016 года.  </w:t>
      </w:r>
    </w:p>
    <w:p w:rsidR="00DE04CF" w:rsidRPr="00DE04CF" w:rsidRDefault="00DE04CF" w:rsidP="00DE04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статью денежных доходов населения составляет заработная плата работающего населения. Среднемесячная заработная плата одного работника по крупным и средним предприятиям за 2017 год сложилась в размере 82 757 руб., увеличившись на 6% к уровню 2016 года. Реальные располагаемые денежные доходы населения (доходы за вычетом обязательных платежей, скорректированные на индекс потребительских цен) составили 100,2%.</w:t>
      </w:r>
    </w:p>
    <w:p w:rsidR="009E70AC" w:rsidRPr="009C477E" w:rsidRDefault="009E70AC" w:rsidP="004E2D7F">
      <w:pPr>
        <w:pStyle w:val="aa"/>
        <w:tabs>
          <w:tab w:val="left" w:pos="72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9C477E">
        <w:rPr>
          <w:sz w:val="24"/>
          <w:szCs w:val="24"/>
        </w:rPr>
        <w:t>В 201</w:t>
      </w:r>
      <w:r w:rsidR="008F2121" w:rsidRPr="009C477E">
        <w:rPr>
          <w:sz w:val="24"/>
          <w:szCs w:val="24"/>
        </w:rPr>
        <w:t>7</w:t>
      </w:r>
      <w:r w:rsidRPr="009C477E">
        <w:rPr>
          <w:sz w:val="24"/>
          <w:szCs w:val="24"/>
        </w:rPr>
        <w:t xml:space="preserve"> </w:t>
      </w:r>
      <w:proofErr w:type="gramStart"/>
      <w:r w:rsidRPr="009C477E">
        <w:rPr>
          <w:sz w:val="24"/>
          <w:szCs w:val="24"/>
        </w:rPr>
        <w:t>году  в</w:t>
      </w:r>
      <w:proofErr w:type="gramEnd"/>
      <w:r w:rsidRPr="009C477E">
        <w:rPr>
          <w:sz w:val="24"/>
          <w:szCs w:val="24"/>
        </w:rPr>
        <w:t xml:space="preserve"> результате выполнения задач, обозначенных в Указе Президента РФ от </w:t>
      </w:r>
      <w:r w:rsidR="007D09F3" w:rsidRPr="009C477E">
        <w:rPr>
          <w:sz w:val="24"/>
          <w:szCs w:val="24"/>
        </w:rPr>
        <w:t xml:space="preserve">               </w:t>
      </w:r>
      <w:r w:rsidRPr="009C477E">
        <w:rPr>
          <w:sz w:val="24"/>
          <w:szCs w:val="24"/>
        </w:rPr>
        <w:t xml:space="preserve">7 мая 2012 года № 597,  достигнуты индикативные значения по уровню заработной платы врачей, работников образования и сферы культуры. 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1817"/>
        <w:gridCol w:w="2084"/>
        <w:gridCol w:w="2336"/>
      </w:tblGrid>
      <w:tr w:rsidR="00746A31" w:rsidRPr="00721C7F" w:rsidTr="00D96D1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0AC" w:rsidRPr="009C477E" w:rsidRDefault="009E70AC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AC" w:rsidRPr="009C477E" w:rsidRDefault="009E70AC" w:rsidP="004D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C477E"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9C477E" w:rsidRDefault="009E70AC" w:rsidP="004D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C477E"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9C477E" w:rsidRDefault="009E70AC" w:rsidP="009C4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 201</w:t>
            </w:r>
            <w:r w:rsidR="009C477E"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201</w:t>
            </w:r>
            <w:r w:rsidR="009C477E"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proofErr w:type="gramEnd"/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C477E" w:rsidRPr="00721C7F" w:rsidTr="00D96D19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77E" w:rsidRPr="009C477E" w:rsidRDefault="009C477E" w:rsidP="009C4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E" w:rsidRPr="009C477E" w:rsidRDefault="009C477E" w:rsidP="009C477E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47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89 555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E" w:rsidRPr="009C477E" w:rsidRDefault="009C477E" w:rsidP="009C477E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47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95 372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77E" w:rsidRPr="009C477E" w:rsidRDefault="009C477E" w:rsidP="009C477E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47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106,5</w:t>
            </w:r>
          </w:p>
        </w:tc>
      </w:tr>
      <w:tr w:rsidR="009C477E" w:rsidRPr="00721C7F" w:rsidTr="00D96D1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77E" w:rsidRPr="009C477E" w:rsidRDefault="009C477E" w:rsidP="009C4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E" w:rsidRPr="009C477E" w:rsidRDefault="009C477E" w:rsidP="009C4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E" w:rsidRPr="009C477E" w:rsidRDefault="009C477E" w:rsidP="009C4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77E" w:rsidRPr="009C477E" w:rsidRDefault="009C477E" w:rsidP="009C4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C477E" w:rsidRPr="00721C7F" w:rsidTr="00D96D1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77E" w:rsidRPr="009C477E" w:rsidRDefault="009C477E" w:rsidP="009C477E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E" w:rsidRPr="009C477E" w:rsidRDefault="009C477E" w:rsidP="009C4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42 819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E" w:rsidRPr="009C477E" w:rsidRDefault="009C477E" w:rsidP="009C4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55 749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E" w:rsidRPr="009C477E" w:rsidRDefault="009C477E" w:rsidP="009C4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</w:tr>
    </w:tbl>
    <w:p w:rsidR="009E70AC" w:rsidRPr="00721C7F" w:rsidRDefault="009E70AC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1EE6" w:rsidRPr="008F2121" w:rsidRDefault="008F2121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1EE6"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EE6"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1EE6"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безработицы в районе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отчетного периода </w:t>
      </w:r>
      <w:r w:rsidR="00781EE6"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0,</w:t>
      </w:r>
      <w:r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781EE6"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численности эконо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мически активного </w:t>
      </w:r>
      <w:r w:rsidR="00927137"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(17</w:t>
      </w:r>
      <w:r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1EE6"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 </w:t>
      </w:r>
    </w:p>
    <w:p w:rsidR="008F2121" w:rsidRPr="008F2121" w:rsidRDefault="008F2121" w:rsidP="008F21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особое внимание было уделено трудоустройству инвалидов, был трудоустроен 31 человек (2016 год - 18 человек).</w:t>
      </w:r>
    </w:p>
    <w:p w:rsidR="003A3F86" w:rsidRPr="00721C7F" w:rsidRDefault="003A3F86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21AF8" w:rsidRPr="00DE04CF" w:rsidRDefault="007B57F7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0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Финансы</w:t>
      </w:r>
    </w:p>
    <w:p w:rsidR="00F17DB7" w:rsidRPr="00DE04CF" w:rsidRDefault="00927702" w:rsidP="00F17D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top" w:history="1">
        <w:r w:rsidR="00F17DB7" w:rsidRPr="00DE04C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Доходная часть консолидированного бюджета</w:t>
        </w:r>
      </w:hyperlink>
      <w:r w:rsidR="00F17DB7" w:rsidRPr="00DE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DB7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 за                              201</w:t>
      </w:r>
      <w:r w:rsidR="00DE04CF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17DB7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составила </w:t>
      </w:r>
      <w:r w:rsidR="00DE04CF"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3 265,6</w:t>
      </w:r>
      <w:r w:rsidR="00F17DB7"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млн</w:t>
      </w:r>
      <w:r w:rsidR="00F17DB7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 (без учета оборотов). Исполнение консолидированного бюджета Белоярского района по расходам (без учета внутренних оборотов) за 201</w:t>
      </w:r>
      <w:r w:rsidR="00DE04CF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17DB7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составило </w:t>
      </w:r>
      <w:r w:rsidR="00DE04CF"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3 252,6</w:t>
      </w:r>
      <w:r w:rsidR="00F17DB7" w:rsidRPr="00DE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7DB7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руб.</w:t>
      </w:r>
    </w:p>
    <w:p w:rsidR="00F17DB7" w:rsidRPr="00721C7F" w:rsidRDefault="00DE04CF" w:rsidP="00F17D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="00F17DB7"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консолидированного бюджета Белоярского района за 2016 года составил                   </w:t>
      </w: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</w:t>
      </w:r>
      <w:r w:rsidRPr="00DE0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сложился в результате перевыполнения неналоговых доходов бюджета.</w:t>
      </w:r>
    </w:p>
    <w:p w:rsidR="00784FDE" w:rsidRPr="00721C7F" w:rsidRDefault="00784FDE" w:rsidP="00F17D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4FDE" w:rsidRPr="00721C7F" w:rsidRDefault="00784FDE" w:rsidP="00784F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7FB6" w:rsidRPr="00721C7F" w:rsidRDefault="00735C16" w:rsidP="00784FDE">
      <w:pPr>
        <w:spacing w:after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721C7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7D3906" w:rsidRPr="00914405" w:rsidRDefault="007D3906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405">
        <w:rPr>
          <w:rFonts w:ascii="Times New Roman" w:hAnsi="Times New Roman" w:cs="Times New Roman"/>
          <w:sz w:val="24"/>
          <w:szCs w:val="24"/>
        </w:rPr>
        <w:t>Начальник управления экономики,</w:t>
      </w:r>
    </w:p>
    <w:p w:rsidR="007D3906" w:rsidRPr="00914405" w:rsidRDefault="007D3906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405">
        <w:rPr>
          <w:rFonts w:ascii="Times New Roman" w:hAnsi="Times New Roman" w:cs="Times New Roman"/>
          <w:sz w:val="24"/>
          <w:szCs w:val="24"/>
        </w:rPr>
        <w:t>реформ и программ администрации</w:t>
      </w:r>
    </w:p>
    <w:p w:rsidR="007D09F3" w:rsidRPr="00914405" w:rsidRDefault="00283FC5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405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7D3906" w:rsidRPr="00914405">
        <w:rPr>
          <w:rFonts w:ascii="Times New Roman" w:hAnsi="Times New Roman" w:cs="Times New Roman"/>
          <w:sz w:val="24"/>
          <w:szCs w:val="24"/>
        </w:rPr>
        <w:t xml:space="preserve">района            </w:t>
      </w:r>
      <w:r w:rsidR="00522AA0" w:rsidRPr="009144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Л.М.Бурматова</w:t>
      </w:r>
      <w:r w:rsidR="007D3906" w:rsidRPr="009144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09F3" w:rsidRPr="00914405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Pr="00721C7F" w:rsidRDefault="007D09F3" w:rsidP="00784F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2FDD" w:rsidRPr="00721C7F" w:rsidRDefault="00402FDD" w:rsidP="00784F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7D09F3" w:rsidRPr="00914405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4405">
        <w:rPr>
          <w:rFonts w:ascii="Times New Roman" w:hAnsi="Times New Roman" w:cs="Times New Roman"/>
          <w:sz w:val="20"/>
          <w:szCs w:val="20"/>
        </w:rPr>
        <w:t xml:space="preserve">Исполнитель: заместитель начальника управления, </w:t>
      </w:r>
    </w:p>
    <w:p w:rsidR="007D09F3" w:rsidRPr="00914405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4405">
        <w:rPr>
          <w:rFonts w:ascii="Times New Roman" w:hAnsi="Times New Roman" w:cs="Times New Roman"/>
          <w:sz w:val="20"/>
          <w:szCs w:val="20"/>
        </w:rPr>
        <w:t xml:space="preserve">начальник  отдела экономики и прогнозирования </w:t>
      </w:r>
    </w:p>
    <w:p w:rsidR="007D09F3" w:rsidRPr="00914405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4405">
        <w:rPr>
          <w:rFonts w:ascii="Times New Roman" w:hAnsi="Times New Roman" w:cs="Times New Roman"/>
          <w:sz w:val="20"/>
          <w:szCs w:val="20"/>
        </w:rPr>
        <w:t xml:space="preserve">управления экономики, реформ и программ </w:t>
      </w:r>
    </w:p>
    <w:p w:rsidR="007D09F3" w:rsidRPr="00914405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4405">
        <w:rPr>
          <w:rFonts w:ascii="Times New Roman" w:hAnsi="Times New Roman" w:cs="Times New Roman"/>
          <w:sz w:val="20"/>
          <w:szCs w:val="20"/>
        </w:rPr>
        <w:t>администрации Белоярского района</w:t>
      </w:r>
    </w:p>
    <w:p w:rsidR="007D09F3" w:rsidRPr="00914405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4405">
        <w:rPr>
          <w:rFonts w:ascii="Times New Roman" w:hAnsi="Times New Roman" w:cs="Times New Roman"/>
          <w:sz w:val="20"/>
          <w:szCs w:val="20"/>
        </w:rPr>
        <w:t>Меженная Олеся Алексеевна</w:t>
      </w:r>
    </w:p>
    <w:p w:rsidR="007D3906" w:rsidRPr="00402FDD" w:rsidRDefault="007D09F3" w:rsidP="00A251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4405">
        <w:rPr>
          <w:rFonts w:ascii="Times New Roman" w:hAnsi="Times New Roman" w:cs="Times New Roman"/>
          <w:sz w:val="20"/>
          <w:szCs w:val="20"/>
        </w:rPr>
        <w:t>тел.:  8 (34670) 62-177</w:t>
      </w:r>
      <w:r w:rsidR="007D3906" w:rsidRPr="0091440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283FC5" w:rsidRPr="0091440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02FDD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7D3906" w:rsidRPr="00402FDD" w:rsidSect="00283F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433AB"/>
    <w:multiLevelType w:val="hybridMultilevel"/>
    <w:tmpl w:val="CA28E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85465"/>
    <w:multiLevelType w:val="hybridMultilevel"/>
    <w:tmpl w:val="E9C01BE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5410E5"/>
    <w:multiLevelType w:val="hybridMultilevel"/>
    <w:tmpl w:val="8E8E703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8C108B"/>
    <w:multiLevelType w:val="hybridMultilevel"/>
    <w:tmpl w:val="A1D4EE3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2A2CFB"/>
    <w:multiLevelType w:val="hybridMultilevel"/>
    <w:tmpl w:val="B0F655A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69068F"/>
    <w:multiLevelType w:val="hybridMultilevel"/>
    <w:tmpl w:val="AF2CD7C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D8190C"/>
    <w:multiLevelType w:val="hybridMultilevel"/>
    <w:tmpl w:val="26EC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15EA3"/>
    <w:multiLevelType w:val="hybridMultilevel"/>
    <w:tmpl w:val="A03207DE"/>
    <w:lvl w:ilvl="0" w:tplc="F61077B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432472"/>
    <w:multiLevelType w:val="hybridMultilevel"/>
    <w:tmpl w:val="B890F32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7E343A"/>
    <w:multiLevelType w:val="hybridMultilevel"/>
    <w:tmpl w:val="374A8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7B1928"/>
    <w:multiLevelType w:val="hybridMultilevel"/>
    <w:tmpl w:val="6EE025E4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F71D57"/>
    <w:multiLevelType w:val="hybridMultilevel"/>
    <w:tmpl w:val="15A0038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F72167"/>
    <w:multiLevelType w:val="hybridMultilevel"/>
    <w:tmpl w:val="584CCF8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C6659"/>
    <w:multiLevelType w:val="hybridMultilevel"/>
    <w:tmpl w:val="8632C1B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C8D2F1D"/>
    <w:multiLevelType w:val="hybridMultilevel"/>
    <w:tmpl w:val="479C92D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43158E2"/>
    <w:multiLevelType w:val="hybridMultilevel"/>
    <w:tmpl w:val="3F4EE9B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03C16"/>
    <w:multiLevelType w:val="hybridMultilevel"/>
    <w:tmpl w:val="C5A03A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6C547F4"/>
    <w:multiLevelType w:val="hybridMultilevel"/>
    <w:tmpl w:val="1E82CA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4"/>
  </w:num>
  <w:num w:numId="9">
    <w:abstractNumId w:val="3"/>
  </w:num>
  <w:num w:numId="10">
    <w:abstractNumId w:val="2"/>
  </w:num>
  <w:num w:numId="11">
    <w:abstractNumId w:val="17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2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C0"/>
    <w:rsid w:val="0000392E"/>
    <w:rsid w:val="0001058A"/>
    <w:rsid w:val="00026B5E"/>
    <w:rsid w:val="0004025D"/>
    <w:rsid w:val="00064895"/>
    <w:rsid w:val="0007181F"/>
    <w:rsid w:val="0009446C"/>
    <w:rsid w:val="000C25DE"/>
    <w:rsid w:val="000C3281"/>
    <w:rsid w:val="000C514F"/>
    <w:rsid w:val="000C76D4"/>
    <w:rsid w:val="000E1734"/>
    <w:rsid w:val="000F27F6"/>
    <w:rsid w:val="000F76FD"/>
    <w:rsid w:val="00121AF8"/>
    <w:rsid w:val="00124CFB"/>
    <w:rsid w:val="001457B1"/>
    <w:rsid w:val="00154EE7"/>
    <w:rsid w:val="0016639B"/>
    <w:rsid w:val="00166604"/>
    <w:rsid w:val="001E3630"/>
    <w:rsid w:val="00210FDA"/>
    <w:rsid w:val="00230A7E"/>
    <w:rsid w:val="0024037E"/>
    <w:rsid w:val="00242556"/>
    <w:rsid w:val="00252531"/>
    <w:rsid w:val="00261658"/>
    <w:rsid w:val="00265B5A"/>
    <w:rsid w:val="00270F33"/>
    <w:rsid w:val="0027597D"/>
    <w:rsid w:val="00280593"/>
    <w:rsid w:val="00283FC5"/>
    <w:rsid w:val="002B178A"/>
    <w:rsid w:val="002D01AA"/>
    <w:rsid w:val="002E5B88"/>
    <w:rsid w:val="002E78B8"/>
    <w:rsid w:val="002F1DEF"/>
    <w:rsid w:val="0032792F"/>
    <w:rsid w:val="00327F4E"/>
    <w:rsid w:val="003356A8"/>
    <w:rsid w:val="003650A1"/>
    <w:rsid w:val="00375C9A"/>
    <w:rsid w:val="003A31CE"/>
    <w:rsid w:val="003A3ABD"/>
    <w:rsid w:val="003A3F86"/>
    <w:rsid w:val="003B76BE"/>
    <w:rsid w:val="003B79E9"/>
    <w:rsid w:val="003C35C0"/>
    <w:rsid w:val="003D377B"/>
    <w:rsid w:val="003D449D"/>
    <w:rsid w:val="003D7B49"/>
    <w:rsid w:val="003E31BF"/>
    <w:rsid w:val="003E6BD3"/>
    <w:rsid w:val="003F49AE"/>
    <w:rsid w:val="00402B1C"/>
    <w:rsid w:val="00402FDD"/>
    <w:rsid w:val="00407922"/>
    <w:rsid w:val="0044600B"/>
    <w:rsid w:val="00455C40"/>
    <w:rsid w:val="00480B5C"/>
    <w:rsid w:val="004A0CF0"/>
    <w:rsid w:val="004B485A"/>
    <w:rsid w:val="004B6EB1"/>
    <w:rsid w:val="004D08CB"/>
    <w:rsid w:val="004D3B60"/>
    <w:rsid w:val="004D5B32"/>
    <w:rsid w:val="004D7525"/>
    <w:rsid w:val="004E1471"/>
    <w:rsid w:val="004E2D7F"/>
    <w:rsid w:val="004E37B7"/>
    <w:rsid w:val="004F120B"/>
    <w:rsid w:val="0050504F"/>
    <w:rsid w:val="00522AA0"/>
    <w:rsid w:val="00540AF7"/>
    <w:rsid w:val="0054462F"/>
    <w:rsid w:val="0055776D"/>
    <w:rsid w:val="00560F77"/>
    <w:rsid w:val="005639AA"/>
    <w:rsid w:val="00570DF0"/>
    <w:rsid w:val="00576714"/>
    <w:rsid w:val="00584E03"/>
    <w:rsid w:val="00586F32"/>
    <w:rsid w:val="005B7A9B"/>
    <w:rsid w:val="005C0AD3"/>
    <w:rsid w:val="005C0E01"/>
    <w:rsid w:val="005F690A"/>
    <w:rsid w:val="005F7DD7"/>
    <w:rsid w:val="00617446"/>
    <w:rsid w:val="00625820"/>
    <w:rsid w:val="00641A0D"/>
    <w:rsid w:val="00646756"/>
    <w:rsid w:val="00663ED1"/>
    <w:rsid w:val="0066491C"/>
    <w:rsid w:val="00680D60"/>
    <w:rsid w:val="00683CDB"/>
    <w:rsid w:val="006A737D"/>
    <w:rsid w:val="006C1EDF"/>
    <w:rsid w:val="006C2E18"/>
    <w:rsid w:val="006D551B"/>
    <w:rsid w:val="006D7B37"/>
    <w:rsid w:val="006E4365"/>
    <w:rsid w:val="00721C7F"/>
    <w:rsid w:val="00735C16"/>
    <w:rsid w:val="00736502"/>
    <w:rsid w:val="00743CA3"/>
    <w:rsid w:val="00746A31"/>
    <w:rsid w:val="00767A4E"/>
    <w:rsid w:val="00775F30"/>
    <w:rsid w:val="00781EE6"/>
    <w:rsid w:val="00784A3E"/>
    <w:rsid w:val="00784FDE"/>
    <w:rsid w:val="00794ACF"/>
    <w:rsid w:val="00795B15"/>
    <w:rsid w:val="007A2F8C"/>
    <w:rsid w:val="007B4818"/>
    <w:rsid w:val="007B5119"/>
    <w:rsid w:val="007B57F7"/>
    <w:rsid w:val="007C2CD5"/>
    <w:rsid w:val="007C335F"/>
    <w:rsid w:val="007D09F3"/>
    <w:rsid w:val="007D3906"/>
    <w:rsid w:val="007E68D5"/>
    <w:rsid w:val="007F46CA"/>
    <w:rsid w:val="00814C88"/>
    <w:rsid w:val="00816C4B"/>
    <w:rsid w:val="008265E7"/>
    <w:rsid w:val="008358B7"/>
    <w:rsid w:val="0083754F"/>
    <w:rsid w:val="00840C2E"/>
    <w:rsid w:val="0084275C"/>
    <w:rsid w:val="008521C1"/>
    <w:rsid w:val="00856C1A"/>
    <w:rsid w:val="00860AE7"/>
    <w:rsid w:val="008912A0"/>
    <w:rsid w:val="00892677"/>
    <w:rsid w:val="008A09CA"/>
    <w:rsid w:val="008A3272"/>
    <w:rsid w:val="008B103E"/>
    <w:rsid w:val="008B2EF5"/>
    <w:rsid w:val="008C21C0"/>
    <w:rsid w:val="008E2307"/>
    <w:rsid w:val="008E37C1"/>
    <w:rsid w:val="008F2121"/>
    <w:rsid w:val="0090585D"/>
    <w:rsid w:val="00914405"/>
    <w:rsid w:val="00927137"/>
    <w:rsid w:val="00943587"/>
    <w:rsid w:val="00964D0F"/>
    <w:rsid w:val="00966545"/>
    <w:rsid w:val="00980592"/>
    <w:rsid w:val="009811FC"/>
    <w:rsid w:val="009A1098"/>
    <w:rsid w:val="009A1842"/>
    <w:rsid w:val="009A5110"/>
    <w:rsid w:val="009C477E"/>
    <w:rsid w:val="009C793E"/>
    <w:rsid w:val="009E379F"/>
    <w:rsid w:val="009E5B4B"/>
    <w:rsid w:val="009E70AC"/>
    <w:rsid w:val="00A251C0"/>
    <w:rsid w:val="00A34ED5"/>
    <w:rsid w:val="00A37F27"/>
    <w:rsid w:val="00A55BC9"/>
    <w:rsid w:val="00A6292E"/>
    <w:rsid w:val="00A63A56"/>
    <w:rsid w:val="00A67A92"/>
    <w:rsid w:val="00A7577E"/>
    <w:rsid w:val="00A765C0"/>
    <w:rsid w:val="00A77069"/>
    <w:rsid w:val="00A8183A"/>
    <w:rsid w:val="00A8674B"/>
    <w:rsid w:val="00A86C07"/>
    <w:rsid w:val="00AA447F"/>
    <w:rsid w:val="00AB4687"/>
    <w:rsid w:val="00AB6861"/>
    <w:rsid w:val="00AC41FF"/>
    <w:rsid w:val="00AD606D"/>
    <w:rsid w:val="00AD65E4"/>
    <w:rsid w:val="00AD6818"/>
    <w:rsid w:val="00AE418A"/>
    <w:rsid w:val="00AE6340"/>
    <w:rsid w:val="00AF2236"/>
    <w:rsid w:val="00AF46F6"/>
    <w:rsid w:val="00B0743F"/>
    <w:rsid w:val="00B30620"/>
    <w:rsid w:val="00B4214A"/>
    <w:rsid w:val="00B510F6"/>
    <w:rsid w:val="00B52699"/>
    <w:rsid w:val="00B701BF"/>
    <w:rsid w:val="00BA1094"/>
    <w:rsid w:val="00BB1569"/>
    <w:rsid w:val="00BC45D4"/>
    <w:rsid w:val="00BD1AE5"/>
    <w:rsid w:val="00BD372F"/>
    <w:rsid w:val="00BE2D64"/>
    <w:rsid w:val="00BE6158"/>
    <w:rsid w:val="00BF16AA"/>
    <w:rsid w:val="00BF6602"/>
    <w:rsid w:val="00C00544"/>
    <w:rsid w:val="00C01701"/>
    <w:rsid w:val="00C0599E"/>
    <w:rsid w:val="00C14F15"/>
    <w:rsid w:val="00C278F6"/>
    <w:rsid w:val="00C32723"/>
    <w:rsid w:val="00C75C33"/>
    <w:rsid w:val="00C91B5D"/>
    <w:rsid w:val="00C93E94"/>
    <w:rsid w:val="00C963D5"/>
    <w:rsid w:val="00CA40C9"/>
    <w:rsid w:val="00CA59C8"/>
    <w:rsid w:val="00CB7FB6"/>
    <w:rsid w:val="00CC05DA"/>
    <w:rsid w:val="00CC5C2E"/>
    <w:rsid w:val="00CE10A8"/>
    <w:rsid w:val="00CE3BFB"/>
    <w:rsid w:val="00D041F2"/>
    <w:rsid w:val="00D05D31"/>
    <w:rsid w:val="00D06C78"/>
    <w:rsid w:val="00D07674"/>
    <w:rsid w:val="00D177E3"/>
    <w:rsid w:val="00D47C7B"/>
    <w:rsid w:val="00D55E9A"/>
    <w:rsid w:val="00D55EF3"/>
    <w:rsid w:val="00D96D19"/>
    <w:rsid w:val="00DC09D7"/>
    <w:rsid w:val="00DC693F"/>
    <w:rsid w:val="00DE04CF"/>
    <w:rsid w:val="00DE4651"/>
    <w:rsid w:val="00DF2388"/>
    <w:rsid w:val="00E00E03"/>
    <w:rsid w:val="00E11F54"/>
    <w:rsid w:val="00E135DA"/>
    <w:rsid w:val="00E21945"/>
    <w:rsid w:val="00E230FB"/>
    <w:rsid w:val="00E30393"/>
    <w:rsid w:val="00E31634"/>
    <w:rsid w:val="00E412AA"/>
    <w:rsid w:val="00E73787"/>
    <w:rsid w:val="00E76336"/>
    <w:rsid w:val="00E82A6F"/>
    <w:rsid w:val="00E85499"/>
    <w:rsid w:val="00E908A6"/>
    <w:rsid w:val="00E95829"/>
    <w:rsid w:val="00EB699B"/>
    <w:rsid w:val="00EC36DA"/>
    <w:rsid w:val="00ED34FE"/>
    <w:rsid w:val="00F03195"/>
    <w:rsid w:val="00F1090E"/>
    <w:rsid w:val="00F13541"/>
    <w:rsid w:val="00F17DB7"/>
    <w:rsid w:val="00F30DBF"/>
    <w:rsid w:val="00F552C6"/>
    <w:rsid w:val="00F608B9"/>
    <w:rsid w:val="00F60AAF"/>
    <w:rsid w:val="00F62536"/>
    <w:rsid w:val="00F71FEF"/>
    <w:rsid w:val="00F736FF"/>
    <w:rsid w:val="00F7459A"/>
    <w:rsid w:val="00F91F4D"/>
    <w:rsid w:val="00FA1EC0"/>
    <w:rsid w:val="00FD3566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BE274-11E6-4F70-9366-2B319A7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1F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71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70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94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01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a9">
    <w:name w:val="Название Знак"/>
    <w:basedOn w:val="a0"/>
    <w:link w:val="a8"/>
    <w:rsid w:val="00C01701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a">
    <w:name w:val="Body Text Indent"/>
    <w:basedOn w:val="a"/>
    <w:link w:val="ab"/>
    <w:rsid w:val="00F625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D:economicfinansdiag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C002-577A-40AF-B6A5-7099069D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10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Щугарева Юлия Николаевна</dc:creator>
  <cp:keywords/>
  <dc:description/>
  <cp:lastModifiedBy>Плетнёва Татьяна Васильевна</cp:lastModifiedBy>
  <cp:revision>175</cp:revision>
  <cp:lastPrinted>2018-03-13T11:02:00Z</cp:lastPrinted>
  <dcterms:created xsi:type="dcterms:W3CDTF">2014-08-21T05:23:00Z</dcterms:created>
  <dcterms:modified xsi:type="dcterms:W3CDTF">2018-03-13T11:26:00Z</dcterms:modified>
</cp:coreProperties>
</file>