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Департамент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недропользования 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природных ресурсов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jc w:val="center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объявляет о проведении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отбора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получателей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грантов в форме субсидий для реализации проектов, способствующих развитию традиционной хозяйственной деятельности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 коренных малочисленных народов Севера Ханты-Мансийского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автономного округа – Югры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(далее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Отбор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1. Отбор осуществляется посредством проведения Конкурса в 3 этапа: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numPr>
          <w:ilvl w:val="1"/>
          <w:numId w:val="50"/>
        </w:numPr>
        <w:ind w:firstLine="0"/>
        <w:jc w:val="both"/>
        <w:spacing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рием и регистрация з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аявок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прилагаемых к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ним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документов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left="0" w:firstLine="0"/>
        <w:jc w:val="both"/>
        <w:spacing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Срок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приема заявок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с 9 часов 00 минут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1 июня 2023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 года до 17 часов 00 минут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31 августа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 202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1.2. Э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кспертиза заявок,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их рассмотрение, принятие решения о допуске или недопуске получателей к участию в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Отборе.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Срок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экспертизы заяво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: в течении 10 рабочих дней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с даты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 направления заявки и прилагаемых к ней документов.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1.3. – рассмотрение и оценка заявок Комиссией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по вопросам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рассмотрения и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 оценки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заявок получателей грантов в форме субсидий на реализацию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проектов, способствующих развитию традиционной хозяйственной деятельности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  <w:lang w:eastAsia="en-US"/>
        </w:rPr>
        <w:t xml:space="preserve">коренных малочисленных народов Севера автономного округа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  <w:lang w:eastAsia="en-US"/>
        </w:rPr>
        <w:t xml:space="preserve">(далее – Комиссия), 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открытая (публичная) защита заявок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 перед Комиссией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Срок рассмотрения и оценки заявок Комиссией: с 7 сентября 2023 года по 14 сентября 2023 года.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Срок проведения открытой (публичной) защиты заявок: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14 сентября 2023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before="0" w:before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оминации Отбора на предоставление Гранта: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tbl>
      <w:tblPr>
        <w:tblW w:w="0" w:type="auto"/>
        <w:tblInd w:w="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00"/>
        <w:gridCol w:w="417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Номинация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Размер Гранта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Заготовка, хранение и транспортировка продукции дикорастущих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3800,0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Переработка продукции дикорастущих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2500,0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Изготовление изделий из меха, кости, рогов северного оленя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1000,0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Развитие и обустройство частного оленеводческого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2500,0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Заготовка, хранение и транспортировка продукции рыбного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3800,0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Переработка продукции рыбного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2700,0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Заготовка, хранение и транспортировка продукции охотничьего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3000,0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938"/>
              <w:ind w:firstLine="4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Переработка продукции охотничьего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Align w:val="top"/>
            <w:textDirection w:val="lrTb"/>
            <w:noWrap w:val="false"/>
          </w:tcPr>
          <w:p>
            <w:pPr>
              <w:pStyle w:val="938"/>
              <w:ind w:firstLine="11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не более 1500,0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Наименование,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места нахождения, почтового адреса, адреса электронной почты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организации, проводящей Отбор: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Департамент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недропользования и природных ресурсов Ханты-Мансийского автономного округа – Югры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(далее – Департамент).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есто нахождения (почтовый адрес): 628007, Тюменская область, Ханты-Мансийский автономный округ – Югра, г. Ханты-Мансийск, ул. Студенческая, д. 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0"/>
        <w:jc w:val="both"/>
        <w:spacing w:line="276" w:lineRule="auto"/>
        <w:widowControl w:val="off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Адрес электронной почты: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  <w:lang w:val="en-US"/>
        </w:rPr>
        <w:t xml:space="preserve">depprirod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@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  <w:lang w:val="en-US"/>
        </w:rPr>
        <w:t xml:space="preserve">admhmao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  <w:lang w:val="en-US"/>
        </w:rPr>
        <w:t xml:space="preserve">ru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4. Целью предоставления грант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форме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для реализации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способствующ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развитию традиционной хозяйственной деятельности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 коренных малочисленных народов Севера автономного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рант,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 является финансовое обеспечение затрат на реализацию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 сохранению, развитию и популяризации следующих видов традиционной хозяйственной деятельности коренных малочисленных народов Севера в автономном округе: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оленеводство,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охота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рыболовство,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собирательство.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Результатом предоставления 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ранта является 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дату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определенную в 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получателя гранта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6. Сетевой адрес в информационно-телекоммуникационной сети Интернет, на котором обеспечивается проведение Отбора - https://www.depprirod.admhmao.ru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Start w:id="4" w:name="Par299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End w:id="4"/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Категория получателей гранта – юридические лица.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r>
      <w:r/>
    </w:p>
    <w:p>
      <w:pPr>
        <w:pStyle w:val="938"/>
        <w:ind w:firstLine="0"/>
        <w:jc w:val="both"/>
        <w:spacing w:line="276" w:lineRule="auto"/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7.1.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Критерии отбора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ранта: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709"/>
        <w:jc w:val="both"/>
        <w:spacing w:line="276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включение в Реестр организаций или соответствие следующим критериям: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709"/>
        <w:jc w:val="both"/>
        <w:spacing w:line="276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хотя бы один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из учредителей является лицом из числа коренных малочисленных народов Севера, проживающих в автономном округе;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709"/>
        <w:jc w:val="both"/>
        <w:spacing w:line="276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709"/>
        <w:jc w:val="both"/>
        <w:spacing w:line="276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 менее половины рабочих мест занято лицами из числа коренных малочисленных народов Севера, проживающих в автономном округе;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709"/>
        <w:jc w:val="both"/>
        <w:spacing w:line="276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709"/>
        <w:jc w:val="both"/>
        <w:spacing w:line="276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регистрация в качестве юридического лица в автономном округе.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r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Получатель гранта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должен соответствовать следующим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требованиям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дату проверки документов, указанных в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пункте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объявления </w:t>
      </w:r>
      <w:r>
        <w:rPr>
          <w:rFonts w:ascii="Times New Roman" w:hAnsi="Times New Roman" w:eastAsia="TimesNewRoman" w:cs="Times New Roman"/>
          <w:b/>
          <w:bCs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(датой проверки документов будет являться дата направления заявки)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left="0" w:firstLine="0"/>
        <w:jc w:val="both"/>
        <w:spacing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8.1.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8.2.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тсутствие просроч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енной задолженности по возврату в бюджет бюджетной системы Российской Федерации, из которого планируется предоставление гранта в соответствии с  Порядка, субсидий, бюджетных инвестиций, предоставленных в том числе в соответствии с иными правовыми актами, а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 в соответствии с Порядком (за исключением субсидий, предоставляемых государств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гранта физическим лицам).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получателя гранта не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введена процедура банкротства, его деятельность не приостановлена в порядке, предусмотренном законодательством Российской Федерации, а получатель гранта - индивидуальный предприниматель не прекратил деятельность в качестве индивидуального предпринимателя.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8.4.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Отсутствие в реестре дисквалифицированных лиц сведений о дисквалифицированных руководителе, членах коллегиального исполнительного органа, лиц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е, исполняющем функции единоличного исполнительного органа, или главном бухгалтере получателя гранта, являющегося юридическим лицом, об индивидуальном предпринимателе и о физическом лице - производителе товаров, работ, услуг, являющихся получателем гранта.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8.5.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 является иностранным юридическим лицом, в том числе местом регистрац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8.6.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тсутствие факта получения средств из федерального бюджета, бюджета автономного округа (местного бюджета) на основании иных нормативных правовых актов на цель,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указанную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объявления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, на которую получатель гранта претендует.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8.7.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 находится в перечне организаций и физических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8.8. Иметь финансовые ресурсы для возможности софинансирования Проекта за счет собственных и (или) иных средств в размере не менее 25% от общей суммы расходов на его реализацию.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8.9.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Завершить Проект, для реализации которого ранее предоставлен грант, и обязательства, связанные с реализацией такого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роекта, выполнить в полном объеме.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8.10.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меть в пользовании территорию традиционного природопользования, охотничье угодье, лесной участо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к или земельный участок сельскохозяйственного использования (в случае строительства, реконструкции или модернизации объектов по заготовке, хранению и (или) переработке продукции традиционной хозяйственной деятельности в пределах соответствующей территории)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r>
      <w:r/>
    </w:p>
    <w:p>
      <w:pPr>
        <w:pStyle w:val="951"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Получатель гранта с целью участия в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тборе в сроки, указанные в объявлении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, направляет в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Департамент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следующие документы: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.1.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аявку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(прилагается)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.2. Справ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форме, установленной приказом Департамента финансов автономного округа от 12.01.2023 № 03-нп «Об утверждении типовой формы соглашения (договора) о предоставлении из бюджета Ханты-Мансийского авт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ономного округа – Югры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не являющимися казенными учреждениями»;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.3. Документы, подтверждающие право подписи.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.4.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- документ, содержащий комплекс взаимосвязанных мероприятий, направленных на достижение конкретных результатов в сфере развития традиционной хозяйственной деятельности в пределах определенного срока и бюджета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9.5. 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окументы, подтверждающие наличие финансовых ресурсов для возможности  софи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нансирования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Проекта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(банковский документ о наличии на расчетном счете средств, кредитный договор, иные документы, подтверждающие наличие финансовых средств) за счет собственных и (или) иных средств в размере не менее 25% от общей суммы расходов на его реализацию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9.6.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П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равоустанавливающие документы на территорию традиционного природопользования, охотничье угодье, лесной участок или земельный участок сельскохозяйственного использования в случае, если право на него не зарегистрирован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 в Едином государственном реестре прав на недвижимое имущество и сделок с ним (в случае строительства, реконструкции или модернизации объектов по заготовке, хранению и (или) переработке продукции традиционной хозяйственной деятельности в пределах Проекта)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9.7.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олучатель, сведения о котором не содержаться в Реестре организаций, осуществляющих традиционную хозяйственную деятельность коренных малочисленных народов Севера в автономном округе, дополнительно предоставляет: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9.7.1.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К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опии документов, содержащих сведения о национальности 1 из учредителей, а также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работников, состоящих в трудовых отношениях с ним (не менее 50% списочного состава).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Получатель гранта в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праве представить копии свидетельств о рождении, подтверждающих, что родители либо 1 из родителей 1 из учредителей, а также работников, состоящих в трудовых отношениях с ним (не менее 50% списочного состава), относятся к лицам из числа коренных малочисленн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ых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9.7.2.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огласия работников, состоящих в трудовых отношениях с получателем гранта, на обработку их персональных данных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9.7.3.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правку о сумме выручки за предыдущий год по видам деятельности по форме,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установленной Департаментом (прилагается)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 собственной инициативе может представить следующие документы для участия в Отборе: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10.1.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Выписку из Единого государственного реестра юридических лиц.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10.3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аявка подается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форме, установленной Департамента (прилагается)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состав заявки входят следующие документы: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numPr>
          <w:ilvl w:val="0"/>
          <w:numId w:val="49"/>
        </w:num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Паспорт Проекта,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numPr>
          <w:ilvl w:val="0"/>
          <w:numId w:val="49"/>
        </w:numPr>
        <w:jc w:val="both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Смета расходов на проведение работ по Проекту,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numPr>
          <w:ilvl w:val="0"/>
          <w:numId w:val="49"/>
        </w:numPr>
        <w:jc w:val="both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Проект.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Заявку подписывает (заверяет) получатель гранта с указанием должности, фамилии и инициалов, даты подписи (заверения), оттиском печати (при наличии) на каждом листе.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гранта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представляет один оригинальный экземпляр 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прилагаемых к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ней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который подшивается в один том с пометкой «ОРИГИНАЛ», один экземпляр копии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прилагаемых к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ней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 пометкой «КОПИЯ»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сканированн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цветн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копи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прилагаемых к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ней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документов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электронном виде. В случае расхождений между оригиналом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и ее копией Комиссия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будет руководствоваться оригиналом.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Описание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включает в себя основной текст и приложения, которые должны быть отпечатаны на стандартных листах белой бумаги формата А4 с одной стороны листа (поля страниц: левое – 2,75 см., правое – 2 см., верхнее – 2 см., нижнее – 2 см.). Шрифт печатания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Times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New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Roman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черного цвета, размер шрифта – 14 пт., межстрочный интервал – 1,0.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40"/>
        <w:jc w:val="both"/>
        <w:spacing w:line="276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Заявка и прилагаемые к ней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представляются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Департамент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непосредственно или почтовым отправлением по месту нахождения, указанному в 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40"/>
        <w:jc w:val="both"/>
        <w:spacing w:line="276" w:lineRule="auto"/>
        <w:widowControl w:val="off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почтовом отправлении датой представления 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считается дата отправления 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заказным письмом. В случае направления 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почтовым отправлением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уведомляет об этом Департамент и дублирует отправление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по адресу электронной почты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указанному в пункте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15"/>
        <w:jc w:val="both"/>
        <w:spacing w:line="276" w:lineRule="auto"/>
        <w:shd w:val="clear" w:color="auto" w:fill="ffffff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Получатель гранта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вправе представить не более 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по каждому из направлений,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таблице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настоящего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при этом по результатам Отбора 1 получателю может быть присужден грант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реализацию только 1 Проекта.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jc w:val="right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Таблица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4"/>
        <w:gridCol w:w="136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Направления Конкурса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Перечень расходов,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Развитие оленеводства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строительство, реконструкция или модернизация объектов по заготовке и (или) переработке продукции оленеводства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приобретение нового оборудования и техники, необходимой для заготовки, хранения и транспортировки продукции оленеводства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обустройство оленеводческого хозяйства, в том числе приобретение оленей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Развитие рыбного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строительство, реконструкция или модернизация объектов по заготовке и (или) переработке продукции рыбного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приобретение нового оборудования и техники, необходимой для заготовки, хранения и транспортировки продукции рыбного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обустройство рыболовного стана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Развитие охотничьего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строительство, реконструкция или модернизация объектов по заготовке и (или) переработке продукции охотничьего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приобретение нового оборудования и техники, необходимой для заготовки, хранения и транспортировки продукции охотничьего промысла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обустройство охотничьего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Развитие собирательства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строительство, реконструкция или модернизация объектов по заготовке и (или) переработке дикорастущих (пищевых лесных ресурсов или лекарственных растений)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38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8" w:type="dxa"/>
            <w:vAlign w:val="top"/>
            <w:textDirection w:val="lrTb"/>
            <w:noWrap w:val="false"/>
          </w:tcPr>
          <w:p>
            <w:pPr>
              <w:pStyle w:val="938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приобретение нового оборудования и техники, необходимой для заготовки, хранения и транспортировки продукции дикорастущих (пищевых лесных ресурсов или лекарственных растений)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Получатель гранта вправе отозвать заявку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или внести в нее изменения путем замены документов либо сведений, сод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ержащихся в них, путем направления в Департамент уведомления об отзыве заявки или заявления о внесении изменений в заявку не позднее срока окончания подачи заявки, указанного в объявлении.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Департамент не позднее чем за 10 рабочих дней до даты принятия решения о предоставлении гранта: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14.1. С целью проверки получателя гранта на соответствие требованиям, указанным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объявления, запрашивает в порядке межведомственного информационного взаимодействия следующие документы: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правку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 w:val="0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ыписку из Единого государственного реестра юридических лиц или выписку из Единого государственного реестра индивидуальных предпринимател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ей.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ведения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наличии (отсутствии) просроченной задолженности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 субсидиям, бюджетным инвестициям и иным средствам, предоставленным из бюджета автономного округа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сведения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 получении (не получении)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текущем финансовом году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средств из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федерального бюджета, бюджета автономного округа (местного бюджета) на основании иных нормативных правовых актов на цель,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указанную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объявления.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14.2.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роверяет представленные получателем гранта заявку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документы на соответствие их составу и достоверность указанных в них сведений (в соответствии с установленными полномочиями), соблюдение требований к документам.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14.3.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Проверяет наличие сведений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оискателе в Реестре организаций.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14.4. По результатам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аявок и прилагаемых к ним документов принимает решение, в котором указывает участников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допущенных к участию в следующем этапе Отбора и участников отбора, которым отказано в дальнейшем участии в Отборе с обоснованием причин отказа.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Основания для отклонения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несоблюдение требования, установленного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12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несоответствие получателя гранта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установленным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несоответствие представленной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установленным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недостоверность представленной получателем гранта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информации, в том числе информации о месте нахождения и адресе юридического лица;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представление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и документов после даты и (или) времени, установленного в объявлении для их подачи;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непредставление (представление не в полном объеме)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16.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При выявл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ении оснований для отказа в участии в Отборе, предусмотренных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пунктом 15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объявления, Департамент в течение 2 рабочих дней направляет получателю гранта соответствующее письмо почтовым отправлением с уведомлением о вручении на почтовый адрес, указанный в заявке.</w:t>
      </w:r>
      <w:r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17.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При отсутствии оснований для отказа в участии в отборе Департамент в течение 5 рабочих дней со дня окончания приема заявок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направляет представленные получателями гранта заявки на рассмотрение в Комиссию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а так 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извещает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оискателей,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которых допущены к участию в Отборе, о сроках открытой (публичной) защиты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Каждую заявку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рассматривают не менее 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кспертов, каждый из которых подготавливает свое экспертное заключение об одобрении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(неодобрении)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заявки по критериям оценки и перечню расходов, соответственно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установленных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пунктах 19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таблица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18.1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Срок рассмотрения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кспертами и подготовки экспертного заключения не может превышать 10 рабочих дней со дня направления их на экспертизу.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18.2. Департамент осуществляет обработку полученных экспертных заключений и подведение итогов экспертизы в течение 1 рабочего дня со дня 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кспертами в Департамент экспертных заключений.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19.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Критерии оценки заявки: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экономическая эффективность (результативность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роекта, определяемая отношением полученного экономического эффекта (результата) к затратам на его реализацию);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социальная значимость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 (направлен на развитие тра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диционной хозяйственной деятельности коренных малочисленных народов Севера, повышение уровня его адаптации к современным экономическим условиям, обеспечение защиты исконной среды обитания и традиционного образа жизни коренных малочисленных народов Севера);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потенциальная область применения результатов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 (сфера применения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 направлена на развитие традиционной хозяйственной деятельности коренных малочисленных народов Севера, детально описана, аргументирована с указанием перечня услуг (работ), предоставление которых должно быть обеспечено в результате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создание новых рабочих мест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том числе для коренных малочисленных народов Севера автономного округа (информация о возможности трудоустройства граждан на новые рабочие места представлена, указаны планируемые периоды и направления трудоустройства);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дополнительные ресурсы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оискатель располагает более 25% от общей суммы расходов на реализацию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роекта, имуществом, находящимся в безвозмездном пользовании или аренде, оборудованием, транспортными средствами и другим и (или) подтверждает реалистичность их привлечения (приобретения));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перспективы дальнейшего развития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 (представлена информация о возможности продолжения деятельности, на которую направлен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роект, за счет собственного финансирования и самоокупаемости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роекта, возможность расширения географии его применения).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Рассмотрение и оценка заявок получателей гранта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членами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Рассмотрение и оценка заявок получателей грантов членами Комиссии начинает осуществляться со дня поступления заявок и заканчивается в день проведения открытой (публичной) защиты заявок.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Каждый член Комиссии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открытой (публичной) защиты заявок осуществляет их оценку на основании критериев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отбора получателей грантов, установленных подпунктом 7.11 и критериев оценки заявок,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19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заполняя оценочную ведомость, которую сдает секретарю Комиссии непосредственно после окончания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защиты 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оценивается по 5-балльной шкале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 1 до 5 баллов (целым числом))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каждому из критериев с учетом экспертных заключений: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 баллов - оценка "отлично";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соответствует данному критерию, замечания отсутствуют;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 балла - оценка "хорошо";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имеет несущественные замечания по данному критерию;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 балла - оценка "удовлетворительно";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содержит ряд недостатков по данному критерию;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 балла - оценка "неудовлетворительно";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содержит ошибки, подготовлен некачественно, не в соответствии с критерием;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 балл - оценка "неудовлетворительно";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 соответствует заявленным целям, критерию, что свидетельствует о высоких рисках его реализации.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результате оценки по каждой заявке выводиться итоговый балл, который рассчитавается как сумма баллов, и заполняется итоговая ведомость.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21. В случае если для участия в Отборе по одной из номинаций, указанных в пункте 2 объявления не подано ни одной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аявки либо всем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оискателям в номинации отказано в участии в Конкурсе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номинация признается несостоявшейся.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Решение Комиссии о количестве баллов, полученных каждой заявкой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(с указанием информации 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оискателе, представившем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заявку)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оформляется протоколом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ротокол).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Грант предоставляется получателю, набравшему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наибольший итоговый балл, но не менее 50% от максимально возможной суммы баллов.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24.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Расчет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размера Гранта определяется по следующей формуле: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40"/>
        <w:jc w:val="center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 = О - Д, где: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 - размер Гранта, выделяемый получателю гранта (но не более размера, 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- общая сумма расходов на реализацию Проекта;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20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 - объем софинансирования Проекта за счет собственных и (или) иных средств.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Грант по несостоявшейся номинации и (или) сложившуюся экономию от состоявшихся номинаций (в случаях когда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олучатель заявил сумму расходов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роекта меньше максимального размера 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ранта) перераспределяет Департамент среди 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чьи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набрали не менее 80% от количества баллов, набранных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олучателем в соответствующей номинации Отбора, пропорционально количеству набранных баллов по результатам итоговой ведомости по формуле: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jc w:val="center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position w:val="-32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08710" cy="56007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450109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87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7.3pt;height:44.1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- размер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Гранта, предоставляемого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чья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набрала не менее 80% от количества баллов, набранных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олучателем в соответствующей номинации Отбора;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общ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- неиспользованные средства, оставшиеся после выделения 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олучателям, направляемые на предоставление 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рантов получателям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чьи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набрали не менее 80% от количества баллов, набранных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олучателем в соответствующей номинации Отбора;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- сумма баллов, набранных заявкой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которая набрала не менее 80% от количества баллов, набранных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олучателем, в соответствующих номинациях Отбора, по результатам итоговой ведомости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общ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- сумма баллов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которые набрали не менее 80% от количества баллов, набранных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олучателем в соответствующей номинации Отбора, по результатам итоговой ведомости.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При выявлении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набравших равное количество баллов Грант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распределяется между получателями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равных долях.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Департамент в течение 5 рабочих дней с даты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ротокола заседания Комиссии, принимает решение о предоставлении гранта или об отказе в его предоставлении, которое оформляет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(далее - приказ).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Получатель гранта имеет право запросить разъяснения положений объявления о проведении Отбора с даты начала подачи заявок и до истечения срока подачи заявок,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объявлении.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Запрос разъяснений осуществляется подачей заявления в Департамент в произвольной письменной форме непосредственно на адрес электронной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почты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или почтовым отправлением.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течени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5 рабочих дней 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епартамент рассматривает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поступивший запрос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подготавливает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29. Дополнительную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получить 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сотрудник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Департамента: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Коноплянко Ольга Сергеевна – заместитель начальника управления – начальник отдела по работе с территориями традиционного природопользования Управления традиционного хозяйствования коренных малочисленных народов Севера, телеф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он: 8(3467) 36-01-10, доб. 3026;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Нарышкина Таисия Сергеевна – консультант отдела по работе с территориями традиционного природопользования Управления традиционного хозяйствования коренных малочисленных народов Севера, телефон: 8(3467) 36-01-10, доб. 3027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Аюпова Зарина Рустамовна – консультант отдела по работе с территориями традиционного природопользования Управления традиционного хозяйствования коренных малочисленных народов Севера, телефон: 8(3467) 36-01-10, доб. 3028.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30. Предоставление Гранта осуществляется на основании Соглашения, в соответствии с типовой формой, утвержденной Департаментом финансов автономного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прилагается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течение 5 рабочих дней со дня издания приказа Департамент направляет получателю 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оглашения для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непосредственно или почтовым отправлением)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0"/>
        <w:jc w:val="both"/>
        <w:spacing w:before="0" w:beforeAutospacing="0" w:after="0" w:line="276" w:lineRule="auto"/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Start w:id="11" w:name="Par49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End w:id="11"/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Соглашение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между получателем гранта и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Департаментом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заключаются в форме электронного документа и по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дписывают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ся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усиленными квалифицированными электронными подписями лица, имеющие право действовать от имени каждой из сторон Соглашения в государственной информационной системе автономного округа "Региональный электронный бюджет Югры" (далее - ГИС "РЭБ Югры").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54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Получатель гранта, если он не подключен к ГИС "РЭБ Югры", в течение 3 рабочих дней с даты принятия решения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о предоставлении гранта направляет в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Департамент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заявку на подключение к ГИС "РЭБ Югры".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Департамент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в течение 2 рабочих дней со дня получения заявки о подключении к ГИС "РЭБ Югры" направляет ее в Департамент финансов автономного округа.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54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отсутствия технической возможности подключения к ГИС "РЭБ Югры" получателя гранта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епартамент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в срок не позднее 5 рабочих дней со дня получения от получателя гранта подписанного Соглашения, преобразует его в форме электронного документа, подписывает усиленной квалифицированной электронной подписью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лиц, имеющих право действовать от имени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Департамент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 в ГИС "РЭБ Югры", с приложением электронного образа Соглашения, подписанного получателем гранта.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ind w:left="0" w:firstLine="540"/>
        <w:jc w:val="both"/>
        <w:spacing w:before="0" w:beforeAutospacing="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При отсутствии технической возможности формирования Соглашения в электронном документе и подписания усиленными квалифицированными электронными подписями лиц, имеющих право действовать от имени каждой из сторон соглашения в ГИС "РЭБ Югры",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подписание Соглашения осуществляется на бумажном носителе в срок не позднее 5 рабочих дней с даты получения Соглашения получателем гранта.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bookmarkEnd w:id="0"/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 Основаниями для отказа заключения Соглашения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.1. Непредставление (представление не в полном объеме) подписанного Соглашения в установленный срок.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.2. Несоответствие представленного Соглашения типовой форме.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.3. Установление факта недостоверности представленной получателем гранта информации.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.4. Представление получателем гранта Соглашения, подписанного неуполномоченным лицом.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.5. Добровольный письменный отказ от получения гранта.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0" w:beforeAutospacing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Департамент в течение 5 рабочих дней с даты получения протокола заседания Комиссии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размещает на сайте,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указанном в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пункте 6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объявления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информацию о результатах рассмотрения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аявок, включающую следующее: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дата, время и место проведения расс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мотрения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аявок;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дата, время и место оценки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аявок;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информация о получателях гранта,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аявки которых были рассмотрены;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информация о получателях гранта,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аявки которых были отклонены, с указанием причин их отклонения, в том числе положений объявления, которым они не соответствуют;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последовательность оценки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аявок, присвоенные им значения по каждому из предусмотренных критериев оценки, принятое на основании результатов оценки решение о присвоении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аявкам порядковых номеров;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p>
      <w:pPr>
        <w:pStyle w:val="951"/>
        <w:contextualSpacing/>
        <w:ind w:left="0" w:firstLine="0"/>
        <w:jc w:val="both"/>
        <w:spacing w:before="240" w:after="0" w:line="276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наименование получателей, с которыми заключается Соглашение, и размер предоставляемого им 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Г</w:t>
      </w:r>
      <w:r>
        <w:rPr>
          <w:rFonts w:ascii="Times New Roman" w:hAnsi="Times New Roman" w:eastAsia="TimesNew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ранта.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276" w:right="568" w:bottom="850" w:left="71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20"/>
        <w:ind w:left="480" w:hanging="480"/>
      </w:pPr>
      <w:rPr>
        <w:b/>
      </w:rPr>
    </w:lvl>
    <w:lvl w:ilvl="1">
      <w:start w:val="2"/>
      <w:numFmt w:val="decimal"/>
      <w:isLgl w:val="false"/>
      <w:suff w:val="tab"/>
      <w:lvlText w:val="%1.%2"/>
      <w:lvlJc w:val="left"/>
      <w:pPr>
        <w:pStyle w:val="920"/>
        <w:ind w:left="660" w:hanging="480"/>
      </w:pPr>
      <w:rPr>
        <w:b/>
      </w:rPr>
    </w:lvl>
    <w:lvl w:ilvl="2">
      <w:start w:val="4"/>
      <w:numFmt w:val="decimal"/>
      <w:isLgl w:val="false"/>
      <w:suff w:val="tab"/>
      <w:lvlText w:val="%1.%2.%3"/>
      <w:lvlJc w:val="left"/>
      <w:pPr>
        <w:pStyle w:val="920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20"/>
        <w:ind w:left="1260" w:hanging="720"/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20"/>
        <w:ind w:left="1800" w:hanging="1080"/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20"/>
        <w:ind w:left="19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20"/>
        <w:ind w:left="252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20"/>
        <w:ind w:left="270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20"/>
        <w:ind w:left="3240" w:hanging="1800"/>
      </w:pPr>
      <w:rPr>
        <w:b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20"/>
        <w:ind w:left="648" w:hanging="360"/>
        <w:tabs>
          <w:tab w:val="num" w:pos="64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10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8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5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2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39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6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4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1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6854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0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0"/>
        <w:ind w:left="360" w:hanging="360"/>
      </w:pPr>
      <w:rPr>
        <w:rFonts w:eastAsia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920"/>
        <w:ind w:left="720" w:hanging="720"/>
      </w:pPr>
      <w:rPr>
        <w:rFonts w:eastAsia="Times New Roman"/>
        <w:b w:val="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20"/>
        <w:ind w:left="720" w:hanging="720"/>
      </w:pPr>
      <w:rPr>
        <w:rFonts w:eastAsia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20"/>
        <w:ind w:left="1080" w:hanging="1080"/>
      </w:pPr>
      <w:rPr>
        <w:rFonts w:eastAsia="Times New Roman"/>
        <w:b w:val="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20"/>
        <w:ind w:left="1080" w:hanging="1080"/>
      </w:pPr>
      <w:rPr>
        <w:rFonts w:eastAsia="Times New Roman"/>
        <w:b w:val="0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20"/>
        <w:ind w:left="1440" w:hanging="1440"/>
      </w:pPr>
      <w:rPr>
        <w:rFonts w:eastAsia="Times New Roman"/>
        <w:b w:val="0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20"/>
        <w:ind w:left="1800" w:hanging="1800"/>
      </w:pPr>
      <w:rPr>
        <w:rFonts w:eastAsia="Times New Roman"/>
        <w:b w:val="0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20"/>
        <w:ind w:left="1800" w:hanging="1800"/>
      </w:pPr>
      <w:rPr>
        <w:rFonts w:eastAsia="Times New Roman"/>
        <w:b w:val="0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20"/>
        <w:ind w:left="2160" w:hanging="2160"/>
      </w:pPr>
      <w:rPr>
        <w:rFonts w:eastAsia="Times New Roman"/>
        <w:b w:val="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2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6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4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8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5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01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0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20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2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6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4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8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5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01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20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20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20"/>
        <w:ind w:left="360" w:hanging="360"/>
      </w:pPr>
      <w:rPr>
        <w:rFonts w:eastAsia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920"/>
        <w:ind w:left="720" w:hanging="720"/>
      </w:pPr>
      <w:rPr>
        <w:rFonts w:eastAsia="Times New Roman"/>
        <w:b w:val="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20"/>
        <w:ind w:left="720" w:hanging="720"/>
      </w:pPr>
      <w:rPr>
        <w:rFonts w:eastAsia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20"/>
        <w:ind w:left="1080" w:hanging="1080"/>
      </w:pPr>
      <w:rPr>
        <w:rFonts w:eastAsia="Times New Roman"/>
        <w:b w:val="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20"/>
        <w:ind w:left="1080" w:hanging="1080"/>
      </w:pPr>
      <w:rPr>
        <w:rFonts w:eastAsia="Times New Roman"/>
        <w:b w:val="0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20"/>
        <w:ind w:left="1440" w:hanging="1440"/>
      </w:pPr>
      <w:rPr>
        <w:rFonts w:eastAsia="Times New Roman"/>
        <w:b w:val="0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20"/>
        <w:ind w:left="1800" w:hanging="1800"/>
      </w:pPr>
      <w:rPr>
        <w:rFonts w:eastAsia="Times New Roman"/>
        <w:b w:val="0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20"/>
        <w:ind w:left="1800" w:hanging="1800"/>
      </w:pPr>
      <w:rPr>
        <w:rFonts w:eastAsia="Times New Roman"/>
        <w:b w:val="0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20"/>
        <w:ind w:left="2160" w:hanging="2160"/>
      </w:pPr>
      <w:rPr>
        <w:rFonts w:eastAsia="Times New Roman"/>
        <w:b w:val="0"/>
        <w:sz w:val="24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920"/>
        <w:ind w:left="360" w:hanging="360"/>
      </w:pPr>
      <w:rPr>
        <w:rFonts w:eastAsia="Times New Roman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pStyle w:val="920"/>
        <w:ind w:left="960" w:hanging="360"/>
      </w:pPr>
      <w:rPr>
        <w:rFonts w:eastAsia="Times New Roman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20"/>
        <w:ind w:left="1920" w:hanging="720"/>
      </w:pPr>
      <w:rPr>
        <w:rFonts w:eastAsia="Times New Roman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20"/>
        <w:ind w:left="2520" w:hanging="720"/>
      </w:pPr>
      <w:rPr>
        <w:rFonts w:eastAsia="Times New Roman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20"/>
        <w:ind w:left="3480" w:hanging="1080"/>
      </w:pPr>
      <w:rPr>
        <w:rFonts w:eastAsia="Times New Roman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20"/>
        <w:ind w:left="4080" w:hanging="1080"/>
      </w:pPr>
      <w:rPr>
        <w:rFonts w:eastAsia="Times New Roman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20"/>
        <w:ind w:left="5040" w:hanging="1440"/>
      </w:pPr>
      <w:rPr>
        <w:rFonts w:eastAsia="Times New Roman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20"/>
        <w:ind w:left="5640" w:hanging="1440"/>
      </w:pPr>
      <w:rPr>
        <w:rFonts w:eastAsia="Times New Roman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20"/>
        <w:ind w:left="6600" w:hanging="1800"/>
      </w:pPr>
      <w:rPr>
        <w:rFonts w:eastAsia="Times New Roman"/>
        <w:b w:val="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0"/>
        <w:ind w:left="855" w:hanging="360"/>
        <w:tabs>
          <w:tab w:val="num" w:pos="85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575" w:hanging="360"/>
        <w:tabs>
          <w:tab w:val="num" w:pos="157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295" w:hanging="180"/>
        <w:tabs>
          <w:tab w:val="num" w:pos="229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3015" w:hanging="360"/>
        <w:tabs>
          <w:tab w:val="num" w:pos="30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735" w:hanging="360"/>
        <w:tabs>
          <w:tab w:val="num" w:pos="37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455" w:hanging="180"/>
        <w:tabs>
          <w:tab w:val="num" w:pos="44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175" w:hanging="360"/>
        <w:tabs>
          <w:tab w:val="num" w:pos="51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895" w:hanging="360"/>
        <w:tabs>
          <w:tab w:val="num" w:pos="58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615" w:hanging="180"/>
        <w:tabs>
          <w:tab w:val="num" w:pos="6615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920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702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125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6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4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8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5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01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20"/>
        <w:ind w:left="360" w:hanging="360"/>
      </w:pPr>
    </w:lvl>
    <w:lvl w:ilvl="1">
      <w:start w:val="8"/>
      <w:numFmt w:val="decimal"/>
      <w:isLgl w:val="false"/>
      <w:suff w:val="tab"/>
      <w:lvlText w:val="%1.%2."/>
      <w:lvlJc w:val="left"/>
      <w:pPr>
        <w:pStyle w:val="920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20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20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20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20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20"/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20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20"/>
        <w:ind w:left="7560" w:hanging="180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0"/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20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920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262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0"/>
        <w:ind w:left="792" w:hanging="360"/>
        <w:tabs>
          <w:tab w:val="num" w:pos="79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20"/>
        <w:ind w:left="1512" w:hanging="360"/>
        <w:tabs>
          <w:tab w:val="num" w:pos="151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20"/>
        <w:ind w:left="2232" w:hanging="180"/>
        <w:tabs>
          <w:tab w:val="num" w:pos="223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20"/>
        <w:ind w:left="2952" w:hanging="360"/>
        <w:tabs>
          <w:tab w:val="num" w:pos="295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20"/>
        <w:ind w:left="3672" w:hanging="360"/>
        <w:tabs>
          <w:tab w:val="num" w:pos="36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20"/>
        <w:ind w:left="4392" w:hanging="180"/>
        <w:tabs>
          <w:tab w:val="num" w:pos="43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20"/>
        <w:ind w:left="5112" w:hanging="360"/>
        <w:tabs>
          <w:tab w:val="num" w:pos="51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20"/>
        <w:ind w:left="5832" w:hanging="360"/>
        <w:tabs>
          <w:tab w:val="num" w:pos="58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20"/>
        <w:ind w:left="6552" w:hanging="180"/>
        <w:tabs>
          <w:tab w:val="num" w:pos="6552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20"/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20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20"/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pStyle w:val="920"/>
        <w:ind w:left="961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20"/>
        <w:ind w:left="19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20"/>
        <w:ind w:left="2523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20"/>
        <w:ind w:left="3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20"/>
        <w:ind w:left="408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20"/>
        <w:ind w:left="504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20"/>
        <w:ind w:left="564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20"/>
        <w:ind w:left="6608" w:hanging="180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20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0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0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0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0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0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0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0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0"/>
        <w:ind w:left="702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920"/>
        <w:ind w:left="360" w:hanging="360"/>
      </w:pPr>
      <w:rPr>
        <w:rFonts w:eastAsia="Times New Roman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pStyle w:val="920"/>
        <w:ind w:left="960" w:hanging="360"/>
      </w:pPr>
      <w:rPr>
        <w:rFonts w:eastAsia="Times New Roman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20"/>
        <w:ind w:left="1920" w:hanging="720"/>
      </w:pPr>
      <w:rPr>
        <w:rFonts w:eastAsia="Times New Roman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20"/>
        <w:ind w:left="2520" w:hanging="720"/>
      </w:pPr>
      <w:rPr>
        <w:rFonts w:eastAsia="Times New Roman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20"/>
        <w:ind w:left="3480" w:hanging="1080"/>
      </w:pPr>
      <w:rPr>
        <w:rFonts w:eastAsia="Times New Roman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20"/>
        <w:ind w:left="4080" w:hanging="1080"/>
      </w:pPr>
      <w:rPr>
        <w:rFonts w:eastAsia="Times New Roman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20"/>
        <w:ind w:left="5040" w:hanging="1440"/>
      </w:pPr>
      <w:rPr>
        <w:rFonts w:eastAsia="Times New Roman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20"/>
        <w:ind w:left="5640" w:hanging="1440"/>
      </w:pPr>
      <w:rPr>
        <w:rFonts w:eastAsia="Times New Roman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20"/>
        <w:ind w:left="6600" w:hanging="1800"/>
      </w:pPr>
      <w:rPr>
        <w:rFonts w:eastAsia="Times New Roman"/>
        <w:b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920"/>
        <w:ind w:left="360" w:hanging="360"/>
      </w:pPr>
      <w:rPr>
        <w:rFonts w:eastAsia="Times New Roman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pStyle w:val="920"/>
        <w:ind w:left="960" w:hanging="360"/>
      </w:pPr>
      <w:rPr>
        <w:rFonts w:eastAsia="Times New Roman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20"/>
        <w:ind w:left="1920" w:hanging="720"/>
      </w:pPr>
      <w:rPr>
        <w:rFonts w:eastAsia="Times New Roman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20"/>
        <w:ind w:left="2520" w:hanging="720"/>
      </w:pPr>
      <w:rPr>
        <w:rFonts w:eastAsia="Times New Roman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20"/>
        <w:ind w:left="3480" w:hanging="1080"/>
      </w:pPr>
      <w:rPr>
        <w:rFonts w:eastAsia="Times New Roman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20"/>
        <w:ind w:left="4080" w:hanging="1080"/>
      </w:pPr>
      <w:rPr>
        <w:rFonts w:eastAsia="Times New Roman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20"/>
        <w:ind w:left="5040" w:hanging="1440"/>
      </w:pPr>
      <w:rPr>
        <w:rFonts w:eastAsia="Times New Roman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20"/>
        <w:ind w:left="5640" w:hanging="1440"/>
      </w:pPr>
      <w:rPr>
        <w:rFonts w:eastAsia="Times New Roman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20"/>
        <w:ind w:left="6600" w:hanging="1800"/>
      </w:pPr>
      <w:rPr>
        <w:rFonts w:eastAsia="Times New Roman"/>
        <w:b w:val="0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7"/>
  </w:num>
  <w:num w:numId="4">
    <w:abstractNumId w:val="19"/>
  </w:num>
  <w:num w:numId="5">
    <w:abstractNumId w:val="12"/>
  </w:num>
  <w:num w:numId="6">
    <w:abstractNumId w:val="18"/>
  </w:num>
  <w:num w:numId="7">
    <w:abstractNumId w:val="0"/>
  </w:num>
  <w:num w:numId="8">
    <w:abstractNumId w:val="20"/>
  </w:num>
  <w:num w:numId="9">
    <w:abstractNumId w:val="26"/>
  </w:num>
  <w:num w:numId="10">
    <w:abstractNumId w:val="11"/>
  </w:num>
  <w:num w:numId="11">
    <w:abstractNumId w:val="1"/>
  </w:num>
  <w:num w:numId="12">
    <w:abstractNumId w:val="10"/>
  </w:num>
  <w:num w:numId="13">
    <w:abstractNumId w:val="15"/>
  </w:num>
  <w:num w:numId="14">
    <w:abstractNumId w:val="3"/>
  </w:num>
  <w:num w:numId="15">
    <w:abstractNumId w:val="28"/>
  </w:num>
  <w:num w:numId="16">
    <w:abstractNumId w:val="14"/>
  </w:num>
  <w:num w:numId="17">
    <w:abstractNumId w:val="25"/>
  </w:num>
  <w:num w:numId="18">
    <w:abstractNumId w:val="13"/>
  </w:num>
  <w:num w:numId="19">
    <w:abstractNumId w:val="6"/>
  </w:num>
  <w:num w:numId="20">
    <w:abstractNumId w:val="21"/>
  </w:num>
  <w:num w:numId="21">
    <w:abstractNumId w:val="30"/>
  </w:num>
  <w:num w:numId="22">
    <w:abstractNumId w:val="8"/>
  </w:num>
  <w:num w:numId="23">
    <w:abstractNumId w:val="23"/>
  </w:num>
  <w:num w:numId="24">
    <w:abstractNumId w:val="9"/>
  </w:num>
  <w:num w:numId="25">
    <w:abstractNumId w:val="4"/>
  </w:num>
  <w:num w:numId="26">
    <w:abstractNumId w:val="7"/>
  </w:num>
  <w:num w:numId="27">
    <w:abstractNumId w:val="29"/>
  </w:num>
  <w:num w:numId="28">
    <w:abstractNumId w:val="22"/>
  </w:num>
  <w:num w:numId="29">
    <w:abstractNumId w:val="5"/>
  </w:num>
  <w:num w:numId="30">
    <w:abstractNumId w:val="16"/>
  </w:num>
  <w:num w:numId="31">
    <w:abstractNumId w:val="17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772"/>
    <w:uiPriority w:val="99"/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rPr>
      <w:sz w:val="24"/>
      <w:szCs w:val="24"/>
      <w:lang w:val="ru-RU" w:eastAsia="ru-RU" w:bidi="ar-SA"/>
    </w:rPr>
  </w:style>
  <w:style w:type="character" w:styleId="921">
    <w:name w:val="Основной шрифт абзаца"/>
    <w:next w:val="921"/>
    <w:link w:val="920"/>
    <w:semiHidden/>
  </w:style>
  <w:style w:type="table" w:styleId="922">
    <w:name w:val="Обычная таблица"/>
    <w:next w:val="922"/>
    <w:link w:val="920"/>
    <w:semiHidden/>
    <w:tblPr/>
  </w:style>
  <w:style w:type="numbering" w:styleId="923">
    <w:name w:val="Нет списка"/>
    <w:next w:val="923"/>
    <w:link w:val="920"/>
    <w:semiHidden/>
  </w:style>
  <w:style w:type="table" w:styleId="924">
    <w:name w:val="Сетка таблицы"/>
    <w:basedOn w:val="922"/>
    <w:next w:val="924"/>
    <w:link w:val="920"/>
    <w:tblPr/>
  </w:style>
  <w:style w:type="character" w:styleId="925">
    <w:name w:val="Гиперссылка"/>
    <w:next w:val="925"/>
    <w:link w:val="920"/>
    <w:uiPriority w:val="99"/>
    <w:rPr>
      <w:color w:val="0000ff"/>
      <w:u w:val="single"/>
    </w:rPr>
  </w:style>
  <w:style w:type="paragraph" w:styleId="926">
    <w:name w:val="Обычный (веб)"/>
    <w:basedOn w:val="920"/>
    <w:next w:val="926"/>
    <w:link w:val="920"/>
    <w:pPr>
      <w:spacing w:before="100" w:beforeAutospacing="1" w:after="100" w:afterAutospacing="1"/>
    </w:pPr>
  </w:style>
  <w:style w:type="paragraph" w:styleId="927">
    <w:name w:val="Основной текст с отступом,текст"/>
    <w:basedOn w:val="920"/>
    <w:next w:val="927"/>
    <w:link w:val="920"/>
    <w:pPr>
      <w:ind w:left="283"/>
      <w:spacing w:after="120"/>
    </w:pPr>
  </w:style>
  <w:style w:type="paragraph" w:styleId="928">
    <w:name w:val=" Знак"/>
    <w:basedOn w:val="920"/>
    <w:next w:val="928"/>
    <w:link w:val="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9">
    <w:name w:val=" Знак Знак Знак Знак"/>
    <w:basedOn w:val="920"/>
    <w:next w:val="929"/>
    <w:link w:val="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0">
    <w:name w:val="Текст выноски"/>
    <w:basedOn w:val="920"/>
    <w:next w:val="930"/>
    <w:link w:val="920"/>
    <w:semiHidden/>
    <w:rPr>
      <w:rFonts w:ascii="Tahoma" w:hAnsi="Tahoma" w:cs="Tahoma"/>
      <w:sz w:val="16"/>
      <w:szCs w:val="16"/>
    </w:rPr>
  </w:style>
  <w:style w:type="character" w:styleId="931">
    <w:name w:val="span_header_lot_21"/>
    <w:next w:val="931"/>
    <w:link w:val="920"/>
    <w:rPr>
      <w:b/>
      <w:bCs/>
      <w:sz w:val="20"/>
      <w:szCs w:val="20"/>
    </w:rPr>
  </w:style>
  <w:style w:type="character" w:styleId="932">
    <w:name w:val="label_text_lot_21"/>
    <w:next w:val="932"/>
    <w:link w:val="920"/>
    <w:rPr>
      <w:color w:val="0000ff"/>
      <w:sz w:val="20"/>
      <w:szCs w:val="20"/>
    </w:rPr>
  </w:style>
  <w:style w:type="character" w:styleId="933">
    <w:name w:val="label_body_text_11"/>
    <w:next w:val="933"/>
    <w:link w:val="920"/>
    <w:rPr>
      <w:color w:val="0000ff"/>
      <w:sz w:val="20"/>
      <w:szCs w:val="20"/>
    </w:rPr>
  </w:style>
  <w:style w:type="character" w:styleId="934">
    <w:name w:val="span_body_text_21"/>
    <w:next w:val="934"/>
    <w:link w:val="920"/>
    <w:rPr>
      <w:sz w:val="20"/>
      <w:szCs w:val="20"/>
    </w:rPr>
  </w:style>
  <w:style w:type="paragraph" w:styleId="935">
    <w:name w:val="Основной текст"/>
    <w:basedOn w:val="920"/>
    <w:next w:val="935"/>
    <w:link w:val="936"/>
    <w:pPr>
      <w:spacing w:after="120"/>
    </w:pPr>
    <w:rPr>
      <w:lang w:val="en-US" w:eastAsia="en-US"/>
    </w:rPr>
  </w:style>
  <w:style w:type="character" w:styleId="936">
    <w:name w:val="Основной текст Знак"/>
    <w:next w:val="936"/>
    <w:link w:val="935"/>
    <w:rPr>
      <w:sz w:val="24"/>
      <w:szCs w:val="24"/>
    </w:rPr>
  </w:style>
  <w:style w:type="paragraph" w:styleId="937">
    <w:name w:val="Знак"/>
    <w:basedOn w:val="920"/>
    <w:next w:val="937"/>
    <w:link w:val="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ConsPlusNormal"/>
    <w:next w:val="938"/>
    <w:link w:val="92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9">
    <w:name w:val="Основной текст 2"/>
    <w:basedOn w:val="920"/>
    <w:next w:val="939"/>
    <w:link w:val="940"/>
    <w:pPr>
      <w:spacing w:after="120" w:line="480" w:lineRule="auto"/>
    </w:pPr>
    <w:rPr>
      <w:lang w:val="en-US" w:eastAsia="en-US"/>
    </w:rPr>
  </w:style>
  <w:style w:type="character" w:styleId="940">
    <w:name w:val="Основной текст 2 Знак"/>
    <w:next w:val="940"/>
    <w:link w:val="939"/>
    <w:rPr>
      <w:sz w:val="24"/>
      <w:szCs w:val="24"/>
    </w:rPr>
  </w:style>
  <w:style w:type="paragraph" w:styleId="941">
    <w:name w:val="Термин"/>
    <w:basedOn w:val="920"/>
    <w:next w:val="942"/>
    <w:link w:val="920"/>
    <w:rPr>
      <w:szCs w:val="20"/>
    </w:rPr>
  </w:style>
  <w:style w:type="paragraph" w:styleId="942">
    <w:name w:val="Список определений"/>
    <w:basedOn w:val="920"/>
    <w:next w:val="941"/>
    <w:link w:val="920"/>
    <w:pPr>
      <w:ind w:left="360"/>
    </w:pPr>
    <w:rPr>
      <w:szCs w:val="20"/>
    </w:rPr>
  </w:style>
  <w:style w:type="paragraph" w:styleId="943">
    <w:name w:val="Обычный1"/>
    <w:next w:val="943"/>
    <w:link w:val="920"/>
    <w:rPr>
      <w:rFonts w:ascii="Arial" w:hAnsi="Arial"/>
      <w:sz w:val="18"/>
      <w:lang w:val="ru-RU" w:eastAsia="ru-RU" w:bidi="ar-SA"/>
    </w:rPr>
  </w:style>
  <w:style w:type="paragraph" w:styleId="944">
    <w:name w:val="Абзац списка"/>
    <w:basedOn w:val="920"/>
    <w:next w:val="944"/>
    <w:link w:val="920"/>
    <w:uiPriority w:val="34"/>
    <w:qFormat/>
    <w:pPr>
      <w:contextualSpacing/>
      <w:ind w:left="720"/>
    </w:pPr>
    <w:rPr>
      <w:sz w:val="20"/>
      <w:szCs w:val="20"/>
    </w:rPr>
  </w:style>
  <w:style w:type="paragraph" w:styleId="945">
    <w:name w:val="ConsNormal"/>
    <w:next w:val="945"/>
    <w:link w:val="920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946">
    <w:name w:val="ConsPlusNonformat"/>
    <w:next w:val="946"/>
    <w:link w:val="920"/>
    <w:rPr>
      <w:rFonts w:ascii="Courier New" w:hAnsi="Courier New" w:cs="Courier New"/>
      <w:lang w:val="ru-RU" w:eastAsia="ar-SA" w:bidi="ar-SA"/>
    </w:rPr>
  </w:style>
  <w:style w:type="paragraph" w:styleId="947">
    <w:name w:val="ConsPlusTitle"/>
    <w:next w:val="947"/>
    <w:link w:val="92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  <w:style w:type="paragraph" w:styleId="95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admhmao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VolohovaUV</dc:creator>
  <cp:revision>10</cp:revision>
  <dcterms:created xsi:type="dcterms:W3CDTF">2022-03-24T08:45:00Z</dcterms:created>
  <dcterms:modified xsi:type="dcterms:W3CDTF">2023-05-22T07:23:28Z</dcterms:modified>
  <cp:version>917504</cp:version>
</cp:coreProperties>
</file>