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0" w:after="0" w:line="276" w:lineRule="auto"/>
        <w:rPr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Приложение к письму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jc w:val="right"/>
        <w:spacing w:before="0" w:after="0" w:line="276" w:lineRule="auto"/>
        <w:rPr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Деппромышленности Югры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jc w:val="right"/>
        <w:spacing w:before="0" w:after="0"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</w:rPr>
        <w:t xml:space="preserve">от «____» ____________2025 г.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8"/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(законных представителей)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68"/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предоставлению социальных сертификатов на получение государственной услуги в сфере туризма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68"/>
        <w:jc w:val="center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06"/>
        <w:numPr>
          <w:ilvl w:val="0"/>
          <w:numId w:val="1"/>
        </w:numPr>
        <w:ind w:left="0" w:firstLine="567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осударственная услуга в сфере туризма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 предоставлению социальных сертификатов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оказывается в электронном виде на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Портале социальных услуг Югры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(</w:t>
      </w:r>
      <w:hyperlink r:id="rId16" w:tooltip="https://socportal.admhmao.ru/" w:history="1">
        <w:r>
          <w:rPr>
            <w:rStyle w:val="894"/>
            <w:rFonts w:ascii="Times New Roman" w:hAnsi="Times New Roman" w:eastAsia="Times New Roman" w:cs="Times New Roman"/>
            <w:b/>
            <w:bCs/>
            <w:color w:val="ff0000"/>
            <w:sz w:val="28"/>
            <w:szCs w:val="28"/>
          </w:rPr>
          <w:t xml:space="preserve">https://socportal.admhmao.ru</w:t>
        </w:r>
      </w:hyperlink>
      <w:r>
        <w:rPr>
          <w:rStyle w:val="894"/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)</w:t>
      </w:r>
      <w:r>
        <w:rPr>
          <w:rStyle w:val="894"/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none"/>
        </w:rPr>
        <w:t xml:space="preserve"> – далее Портал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ind w:left="567" w:firstLine="0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numPr>
          <w:ilvl w:val="0"/>
          <w:numId w:val="1"/>
        </w:numPr>
        <w:ind w:left="0" w:firstLine="567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Дата начала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окончания приёма заявлений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 предоставление социальных сертификатов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указывается в объявлении размещенном на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Портале.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ind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1"/>
        </w:numPr>
        <w:ind w:left="0" w:firstLine="567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Что такое социальный сертификат на путешествие?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</w:rPr>
        <w:t xml:space="preserve">Социальный сертификат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– это именной документ, подтверждающий право гражданина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(учащегося 5-9 классов)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получение государственной услуги в сфере туризма, который выдается в электронном виде, и представляет собой номер реестровой записи.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Социальный сертификат может получить родитель (законный представитель) ребенка,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обучающегося в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</w:rPr>
        <w:t xml:space="preserve">5-9 классе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постоянно проживающего на территории Ханты-Мансийского автономного округа – Югры.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получении социального сертификата и заключении договора с туроператором школьник совместно с родителем (законным представителем) может выбрать одну из предложенных программ размещенных на Портале и совершить путешествие по Югре.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567"/>
        <w:jc w:val="both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 xml:space="preserve">Один ребенок имеет право на получение только одного социального сертификата.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906"/>
        <w:ind w:firstLine="567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numPr>
          <w:ilvl w:val="0"/>
          <w:numId w:val="1"/>
        </w:numPr>
        <w:ind w:left="0" w:firstLine="567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Как получить социальный сертификат?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Родитель (законный представитель) ребенка заполняет заявление на Портале социальных услуг (</w:t>
      </w:r>
      <w:hyperlink r:id="rId17" w:tooltip="https://socportal.admhmao.ru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https://socportal.admhmao.ru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в разделе «Услуги туризма».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Вам понадобятся следующие документы: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Паспорт родителя (законного представителя) ребенка;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Свидетельство о рождении (паспорт) ребенка;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ИНН;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 СНИЛС.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567"/>
        <w:jc w:val="both"/>
        <w:spacing w:before="0" w:after="0"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single"/>
        </w:rPr>
        <w:t xml:space="preserve">Сведения о ребенке должны быть добавлены в личный кабинет родителя (законного представителя) на портале Госуслуг.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Style w:val="906"/>
        <w:ind w:firstLine="709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</w:rPr>
        <w:t xml:space="preserve">10 рабочих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после подачи заявления на предоставление социального сертификата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будет направлен ответ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личный кабинет родителя/законного представителя ребенка, подавшего заявление на Портале социальных услуг (</w:t>
      </w:r>
      <w:hyperlink r:id="rId18" w:tooltip="https://socportal.admhmao.ru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https://socportal.admhmao.ru</w:t>
        </w:r>
      </w:hyperlink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</w:rPr>
        <w:t xml:space="preserve">),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а также на элетронную почту, указанную в заявлении.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положительного решения, придёт уведомление о присвоенном идентификационном номере социального сертификата.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отрицательного решения, заявителю придёт уведомление об отказе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предоставлении социального сертификата с указанием причины отказа.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</w:rPr>
        <w:t xml:space="preserve">12 рабочих дней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 дня получения социального сертификата родитель (законный представитель) ребенка выбирает одну из предложенных программ из перечня туристских продуктов, представленных на Портале социальных услуг (</w:t>
      </w:r>
      <w:hyperlink r:id="rId19" w:tooltip="https://socportal.admhmao.ru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https://socportal.admhmao.ru</w:t>
        </w:r>
      </w:hyperlink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, и дату поездки,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после чего заключает договор с туроператором, организующим путешествие, на Портале социальных услуг в электронном виде.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Внимание!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Если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родитель (законный представитель) ребенка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не заключит договор с туроператором, организующим путешествие, в течение 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u w:val="single"/>
        </w:rPr>
        <w:t xml:space="preserve">12 рабочих дней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после получения социального сертификата, то социальный сертификат анулируется.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Родитель (законный представитель) ребенка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может повторно направить заявление на получение социального сертификата (при наличии социальных сертификатов).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Договор должен иметь статус «Действующий».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10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erReference w:type="default" r:id="rId12"/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1701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Доставку до начала маршрута осуществляет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родитель (законный представитель) ребенка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самостоятельно. За дополнительную плату туроператор – организатор тура может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организовать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трансфер до начальной точки маршрута и обратно по запросу р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одителя (законного представителя)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</w:t>
      </w: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3"/>
        </w:numPr>
        <w:ind w:left="0" w:firstLine="567"/>
        <w:jc w:val="both"/>
        <w:spacing w:before="0" w:after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Часто задаваемые вопросы и ответы на них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Cs/>
          <w:color w:val="000000"/>
          <w:sz w:val="28"/>
          <w:szCs w:val="28"/>
        </w:rPr>
      </w:r>
    </w:p>
    <w:p>
      <w:pPr>
        <w:pStyle w:val="906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Сколько стоит социальный сертификат?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Номинал сертификата – 12 819,45 рублей, он не подлежит обмену на деньги. Социальный сертификат дает возможность на получение государственной услуги на путешествие школьника из </w:t>
      </w:r>
      <w:hyperlink r:id="rId20" w:tooltip="https://tourism.admhmao.ru/gosudarstvennaya-usluga-v-sfere-turizma/" w:history="1">
        <w:r>
          <w:rPr>
            <w:rStyle w:val="904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перечня туров,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расположенных на тематическом сайте «Туризм в Югре» (</w:t>
      </w:r>
      <w:hyperlink r:id="rId21" w:tooltip="https://tourism.admhmao.ru/" w:history="1">
        <w:r>
          <w:rPr>
            <w:rStyle w:val="894"/>
            <w:rFonts w:ascii="Times New Roman" w:hAnsi="Times New Roman" w:eastAsia="Times New Roman" w:cs="Times New Roman"/>
            <w:color w:val="000000"/>
            <w:sz w:val="28"/>
            <w:szCs w:val="28"/>
            <w:u w:val="none"/>
          </w:rPr>
          <w:t xml:space="preserve">https://tourism.admhmao.ru</w:t>
        </w:r>
      </w:hyperlink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разделе «Государственная услуга в сфере туризма» и на Портале социальных услуг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hyperlink r:id="rId22" w:tooltip="https://socportal.admhmao.ru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https://socportal.admhmao.ru</w:t>
        </w:r>
      </w:hyperlink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разделе «Услуги туризма», предлагаемых туроператорами по внутреннему и въездному туризму Югры.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Могу ли я выбирать кто будет предоставлять услуги? Где найти тур?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После получения социального сертификата родителю (законному представителю) ребенка на Портале социальных услуг (</w:t>
      </w:r>
      <w:hyperlink r:id="rId23" w:tooltip="https://socportal.admhmao.ru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https://socportal.admhmao.ru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будет доступен раздел с перечнем предлагаемых программ и информации об организаторах программ (туроператорах). После выбора программы необходимо выбрать удобные даты тура и заключить договор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выбранным туроператором.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Договор должен иметь статус «Действующий».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 подачи заявки на получение социального сертификата с предлагаемыми турами можно ознакомиться на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сайте «Туризм в Югре» (</w:t>
      </w:r>
      <w:hyperlink r:id="rId24" w:tooltip="https://tourism.admhmao.ru/gosudarstvennaya-usluga-v-sfere-turizma/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https://tourism.admhmao.ru/gosudarstvennaya-usluga-v-sfere-turizma/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Будут ли сопровождающие в турах?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групповом туре на каждые 10 школьников предусмотрен 1 сопровождающий.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89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Как организуется транспортное обслуживание?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Перевозка детей осуществляется автобусами в соответствии с постановлением Прав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ительства Российской Федерации от 23 сентября 2020 года № 1527 «Об утверждении правил организованной перевозки группы детей автобусами»; ГОСТ 33552-2015 «Межгосударственный стандарт. Автобусы для перевозки детей. Технические требования и методы испытаний».</w:t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89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Как организуется питание во время туров</w:t>
      </w:r>
      <w:r>
        <w:rPr>
          <w:rStyle w:val="894"/>
          <w:rFonts w:ascii="Times New Roman" w:hAnsi="Times New Roman" w:eastAsia="Times New Roman" w:cs="Times New Roman"/>
          <w:b/>
          <w:color w:val="000000"/>
          <w:sz w:val="28"/>
          <w:szCs w:val="28"/>
          <w:u w:val="none"/>
        </w:rPr>
        <w:t xml:space="preserve">?</w:t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894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Питание детей организуется на предприятиях общественного питания разл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ичных типов (рестораны, кафе, столовые, буфеты) 3 раза в полный день путешествия (завтрак, обед и ужин), в неполный день программы – не менее 1 раза в течение 4 часов (до 12.00 – 1 завтрак, до 16.00 – завтрак и обед; с 15.00 – обед и ужин, с 19.00 – ужин).</w:t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9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Как организуется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размещение?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Для комфортного пребывания в путешествии дети размещаются в средствах размещения категории не менее «три звезды» в гостиницах, официально прошедших классификацию. </w:t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tabs>
          <w:tab w:val="clear" w:pos="0" w:leader="none"/>
        </w:tabs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Где можно найти контакты туроператоров – организаторов туров и их программы?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Информация о туроператорах, их контакты и список предлагаемых программ опубликованы на сайте «Туризм в Югре» (</w:t>
      </w:r>
      <w:hyperlink r:id="rId25" w:tooltip="https://tourism.admhmao.ru/gosudarstvennaya-usluga-v-sfere-turizma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https://tourism.admhmao.ru/gosudarstvennaya-usluga-v-sfere-turizma</w:t>
        </w:r>
      </w:hyperlink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left="709" w:firstLine="0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На Портале опубликована информация о приостановке приема заявлений, что это значит?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 случае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превышения количества поступивших заявлений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над планируемым количеством получателей социального сертификата (получателей туристского продукта) на текущий финансовый год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прием заявлений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 приостанавливается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color w:val="000000"/>
          <w:sz w:val="28"/>
          <w:szCs w:val="28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000000"/>
          <w:sz w:val="28"/>
          <w:szCs w:val="28"/>
          <w:highlight w:val="none"/>
          <w:u w:val="none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По итогам проверки получателей социального сертификата на соответствие требованиям и (или) аннулирования социальных сертификатов, 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 случае их высвобождения,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прием заявлений в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озобновляется. </w:t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highlight w:val="none"/>
          <w:u w:val="none"/>
          <w14:ligatures w14:val="none"/>
        </w:rPr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highlight w:val="none"/>
          <w:u w:val="none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Дата и время возобновления приема заявлений опубликовывается на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Портале 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тематическом сайте «Туризм в Югре» (https://tourism.admhmao.ru)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14:ligatures w14:val="none"/>
        </w:rPr>
      </w:r>
    </w:p>
    <w:p>
      <w:pPr>
        <w:pStyle w:val="906"/>
        <w:ind w:left="709" w:firstLine="0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Могут ли родители изменить даты поездки или выбрать другую программу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путешествия?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Родитель (законный представитель) ребенка, имеющий действующий договор в текущем году,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в течение 1 календарного дня с момента его расторжения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вправе: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изменить даты поездки;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перезаключить договор с туроператором по изменению программы путешествия;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- поменять туроператора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ff0000"/>
          <w:sz w:val="28"/>
          <w:szCs w:val="28"/>
          <w14:ligatures w14:val="none"/>
        </w:rPr>
      </w:pP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Для этого необходимо открыть действующий договор и нажать соответствующую кнопку: </w:t>
      </w:r>
      <w:r>
        <w:rPr>
          <w:rStyle w:val="89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«Внести изменения»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– корректировка даты поездки без смены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туроператора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, </w:t>
      </w:r>
      <w:r>
        <w:rPr>
          <w:rStyle w:val="894"/>
          <w:rFonts w:ascii="Times New Roman" w:hAnsi="Times New Roman" w:eastAsia="Times New Roman" w:cs="Times New Roman"/>
          <w:b/>
          <w:bCs/>
          <w:color w:val="000000"/>
          <w:sz w:val="28"/>
          <w:szCs w:val="28"/>
          <w:u w:val="none"/>
        </w:rPr>
        <w:t xml:space="preserve">«Расторгнуть»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 – расторжение договора с возможностью выбора другого </w:t>
      </w:r>
      <w:r>
        <w:rPr>
          <w:rStyle w:val="894"/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туроператора, программы и даты путешествия.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14:ligatures w14:val="none"/>
        </w:rPr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14:ligatures w14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  <w14:ligatures w14:val="none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Заключить договор необходимо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 течение 1 календарного дня с момента его расторжения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  <w14:ligatures w14:val="none"/>
        </w:rPr>
      </w:r>
      <w:r>
        <w:rPr>
          <w:rStyle w:val="894"/>
          <w:rFonts w:ascii="Times New Roman" w:hAnsi="Times New Roman" w:cs="Times New Roman"/>
          <w:color w:val="000000"/>
          <w:sz w:val="28"/>
          <w:szCs w:val="28"/>
          <w:u w:val="none"/>
          <w14:ligatures w14:val="none"/>
        </w:rPr>
      </w:r>
    </w:p>
    <w:p>
      <w:pPr>
        <w:pStyle w:val="906"/>
        <w:ind w:left="720" w:firstLine="0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numPr>
          <w:ilvl w:val="0"/>
          <w:numId w:val="2"/>
        </w:numPr>
        <w:ind w:left="0" w:firstLine="709"/>
        <w:jc w:val="both"/>
        <w:spacing w:before="0"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Если остались вопросы, куда я могу обратиться?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Контактные данные представителей Уполномоченного органа: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Дудников Дмитрий Валерьевич, тел.: (3467) 35-34-04 (доб. 3813),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hyperlink r:id="rId26" w:tooltip="mailto:DudnikovDV@admhmao.ru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DudnikovDV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@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admhmao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Коломинский Виктор Владимирович, тел.: (3467) 35-34-04 (доб. 3810),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 xml:space="preserve">mail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hyperlink r:id="rId27" w:tooltip="mailto:KolominskiyVV@admhmao.ru" w:history="1"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Ko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lominskiyVV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@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admhmao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</w:rPr>
          <w:t xml:space="preserve">.</w:t>
        </w:r>
        <w:r>
          <w:rPr>
            <w:rStyle w:val="894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6"/>
        <w:ind w:firstLine="709"/>
        <w:jc w:val="both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10"/>
      <w:headerReference w:type="first" r:id="rId11"/>
      <w:footerReference w:type="default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</w:font>
  <w:font w:name="Symbol">
    <w:panose1 w:val="05050102010706020507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ucida Sans">
    <w:panose1 w:val="020B0602030504020204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 w:eastAsia="Calibri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69">
    <w:name w:val="Heading 1"/>
    <w:basedOn w:val="8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70">
    <w:name w:val="Heading 2"/>
    <w:basedOn w:val="8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1">
    <w:name w:val="Heading 3"/>
    <w:basedOn w:val="8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2">
    <w:name w:val="Heading 4"/>
    <w:basedOn w:val="8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73">
    <w:name w:val="Heading 5"/>
    <w:basedOn w:val="8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74">
    <w:name w:val="Heading 6"/>
    <w:basedOn w:val="8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75">
    <w:name w:val="Heading 7"/>
    <w:basedOn w:val="8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8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77">
    <w:name w:val="Heading 9"/>
    <w:basedOn w:val="8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8">
    <w:name w:val="Heading 1 Char"/>
    <w:basedOn w:val="901"/>
    <w:uiPriority w:val="9"/>
    <w:qFormat/>
    <w:rPr>
      <w:rFonts w:ascii="Arial" w:hAnsi="Arial" w:eastAsia="Arial" w:cs="Arial"/>
      <w:sz w:val="40"/>
      <w:szCs w:val="40"/>
    </w:rPr>
  </w:style>
  <w:style w:type="character" w:styleId="879">
    <w:name w:val="Heading 2 Char"/>
    <w:basedOn w:val="901"/>
    <w:uiPriority w:val="9"/>
    <w:qFormat/>
    <w:rPr>
      <w:rFonts w:ascii="Arial" w:hAnsi="Arial" w:eastAsia="Arial" w:cs="Arial"/>
      <w:sz w:val="34"/>
    </w:rPr>
  </w:style>
  <w:style w:type="character" w:styleId="880">
    <w:name w:val="Heading 3 Char"/>
    <w:basedOn w:val="901"/>
    <w:uiPriority w:val="9"/>
    <w:qFormat/>
    <w:rPr>
      <w:rFonts w:ascii="Arial" w:hAnsi="Arial" w:eastAsia="Arial" w:cs="Arial"/>
      <w:sz w:val="30"/>
      <w:szCs w:val="30"/>
    </w:rPr>
  </w:style>
  <w:style w:type="character" w:styleId="881">
    <w:name w:val="Heading 4 Char"/>
    <w:basedOn w:val="90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82">
    <w:name w:val="Heading 5 Char"/>
    <w:basedOn w:val="90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83">
    <w:name w:val="Heading 6 Char"/>
    <w:basedOn w:val="90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84">
    <w:name w:val="Heading 7 Char"/>
    <w:basedOn w:val="90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85">
    <w:name w:val="Heading 8 Char"/>
    <w:basedOn w:val="90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86">
    <w:name w:val="Heading 9 Char"/>
    <w:basedOn w:val="90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87">
    <w:name w:val="Title Char"/>
    <w:basedOn w:val="901"/>
    <w:uiPriority w:val="10"/>
    <w:qFormat/>
    <w:rPr>
      <w:sz w:val="48"/>
      <w:szCs w:val="48"/>
    </w:rPr>
  </w:style>
  <w:style w:type="character" w:styleId="888">
    <w:name w:val="Subtitle Char"/>
    <w:basedOn w:val="901"/>
    <w:uiPriority w:val="11"/>
    <w:qFormat/>
    <w:rPr>
      <w:sz w:val="24"/>
      <w:szCs w:val="24"/>
    </w:rPr>
  </w:style>
  <w:style w:type="character" w:styleId="889">
    <w:name w:val="Quote Char"/>
    <w:uiPriority w:val="29"/>
    <w:qFormat/>
    <w:rPr>
      <w:i/>
    </w:rPr>
  </w:style>
  <w:style w:type="character" w:styleId="890">
    <w:name w:val="Intense Quote Char"/>
    <w:uiPriority w:val="30"/>
    <w:qFormat/>
    <w:rPr>
      <w:i/>
    </w:rPr>
  </w:style>
  <w:style w:type="character" w:styleId="891">
    <w:name w:val="Header Char"/>
    <w:basedOn w:val="901"/>
    <w:uiPriority w:val="99"/>
    <w:qFormat/>
  </w:style>
  <w:style w:type="character" w:styleId="892">
    <w:name w:val="Footer Char"/>
    <w:basedOn w:val="901"/>
    <w:uiPriority w:val="99"/>
    <w:qFormat/>
  </w:style>
  <w:style w:type="character" w:styleId="893">
    <w:name w:val="Caption Char"/>
    <w:uiPriority w:val="99"/>
    <w:qFormat/>
  </w:style>
  <w:style w:type="character" w:styleId="894">
    <w:name w:val="Hyperlink"/>
    <w:basedOn w:val="901"/>
    <w:uiPriority w:val="99"/>
    <w:unhideWhenUsed/>
    <w:rPr>
      <w:color w:val="0563c1" w:themeColor="hyperlink"/>
      <w:u w:val="single"/>
    </w:rPr>
  </w:style>
  <w:style w:type="character" w:styleId="895">
    <w:name w:val="Footnote Text Char"/>
    <w:uiPriority w:val="99"/>
    <w:qFormat/>
    <w:rPr>
      <w:sz w:val="18"/>
    </w:rPr>
  </w:style>
  <w:style w:type="character" w:styleId="896">
    <w:name w:val="Символ сноски"/>
    <w:uiPriority w:val="99"/>
    <w:unhideWhenUsed/>
    <w:qFormat/>
    <w:rPr>
      <w:vertAlign w:val="superscript"/>
    </w:rPr>
  </w:style>
  <w:style w:type="character" w:styleId="897">
    <w:name w:val="footnote reference"/>
    <w:rPr>
      <w:vertAlign w:val="superscript"/>
    </w:rPr>
  </w:style>
  <w:style w:type="character" w:styleId="898">
    <w:name w:val="Endnote Text Char"/>
    <w:uiPriority w:val="99"/>
    <w:qFormat/>
    <w:rPr>
      <w:sz w:val="20"/>
    </w:rPr>
  </w:style>
  <w:style w:type="character" w:styleId="89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00">
    <w:name w:val="endnote reference"/>
    <w:rPr>
      <w:vertAlign w:val="superscript"/>
    </w:rPr>
  </w:style>
  <w:style w:type="character" w:styleId="901" w:default="1">
    <w:name w:val="Default Paragraph Font"/>
    <w:uiPriority w:val="1"/>
    <w:semiHidden/>
    <w:unhideWhenUsed/>
    <w:qFormat/>
  </w:style>
  <w:style w:type="character" w:styleId="902" w:customStyle="1">
    <w:name w:val="Верхний колонтитул Знак"/>
    <w:basedOn w:val="901"/>
    <w:uiPriority w:val="99"/>
    <w:qFormat/>
  </w:style>
  <w:style w:type="character" w:styleId="903" w:customStyle="1">
    <w:name w:val="Нижний колонтитул Знак"/>
    <w:basedOn w:val="901"/>
    <w:uiPriority w:val="99"/>
    <w:qFormat/>
  </w:style>
  <w:style w:type="character" w:styleId="904" w:customStyle="1">
    <w:name w:val="FollowedHyperlink"/>
    <w:rPr>
      <w:color w:val="800000"/>
      <w:u w:val="single"/>
    </w:rPr>
  </w:style>
  <w:style w:type="paragraph" w:styleId="905" w:customStyle="1">
    <w:name w:val="Заголовок"/>
    <w:basedOn w:val="868"/>
    <w:next w:val="90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906">
    <w:name w:val="Body Text"/>
    <w:basedOn w:val="868"/>
    <w:pPr>
      <w:spacing w:before="0" w:after="140" w:line="276" w:lineRule="auto"/>
    </w:pPr>
  </w:style>
  <w:style w:type="paragraph" w:styleId="907">
    <w:name w:val="List"/>
    <w:basedOn w:val="906"/>
    <w:rPr>
      <w:rFonts w:cs="Lucida Sans"/>
    </w:rPr>
  </w:style>
  <w:style w:type="paragraph" w:styleId="908">
    <w:name w:val="Caption"/>
    <w:basedOn w:val="868"/>
    <w:link w:val="89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909">
    <w:name w:val="Указатель"/>
    <w:basedOn w:val="868"/>
    <w:qFormat/>
    <w:pPr>
      <w:suppressLineNumbers/>
    </w:pPr>
    <w:rPr>
      <w:rFonts w:cs="Arial"/>
    </w:rPr>
  </w:style>
  <w:style w:type="paragraph" w:styleId="910">
    <w:name w:val="List Paragraph"/>
    <w:basedOn w:val="868"/>
    <w:uiPriority w:val="34"/>
    <w:qFormat/>
    <w:pPr>
      <w:contextualSpacing/>
      <w:ind w:left="720"/>
      <w:spacing w:before="0" w:after="0"/>
    </w:pPr>
  </w:style>
  <w:style w:type="paragraph" w:styleId="91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912">
    <w:name w:val="Title"/>
    <w:basedOn w:val="86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13">
    <w:name w:val="Subtitle"/>
    <w:basedOn w:val="868"/>
    <w:uiPriority w:val="11"/>
    <w:qFormat/>
    <w:pPr>
      <w:spacing w:before="200" w:after="200"/>
    </w:pPr>
    <w:rPr>
      <w:sz w:val="24"/>
      <w:szCs w:val="24"/>
    </w:rPr>
  </w:style>
  <w:style w:type="paragraph" w:styleId="914">
    <w:name w:val="Quote"/>
    <w:basedOn w:val="868"/>
    <w:uiPriority w:val="29"/>
    <w:qFormat/>
    <w:pPr>
      <w:ind w:left="720" w:right="720"/>
    </w:pPr>
    <w:rPr>
      <w:i/>
    </w:rPr>
  </w:style>
  <w:style w:type="paragraph" w:styleId="915">
    <w:name w:val="Intense Quote"/>
    <w:basedOn w:val="868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6">
    <w:name w:val="footnote text"/>
    <w:basedOn w:val="86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7">
    <w:name w:val="endnote text"/>
    <w:basedOn w:val="86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8">
    <w:name w:val="toc 1"/>
    <w:basedOn w:val="868"/>
    <w:uiPriority w:val="39"/>
    <w:unhideWhenUsed/>
    <w:pPr>
      <w:ind w:left="0" w:right="0" w:firstLine="0"/>
      <w:spacing w:before="0" w:after="57"/>
    </w:pPr>
  </w:style>
  <w:style w:type="paragraph" w:styleId="919">
    <w:name w:val="toc 2"/>
    <w:basedOn w:val="868"/>
    <w:uiPriority w:val="39"/>
    <w:unhideWhenUsed/>
    <w:pPr>
      <w:ind w:left="283" w:right="0" w:firstLine="0"/>
      <w:spacing w:before="0" w:after="57"/>
    </w:pPr>
  </w:style>
  <w:style w:type="paragraph" w:styleId="920">
    <w:name w:val="toc 3"/>
    <w:basedOn w:val="868"/>
    <w:uiPriority w:val="39"/>
    <w:unhideWhenUsed/>
    <w:pPr>
      <w:ind w:left="567" w:right="0" w:firstLine="0"/>
      <w:spacing w:before="0" w:after="57"/>
    </w:pPr>
  </w:style>
  <w:style w:type="paragraph" w:styleId="921">
    <w:name w:val="toc 4"/>
    <w:basedOn w:val="868"/>
    <w:uiPriority w:val="39"/>
    <w:unhideWhenUsed/>
    <w:pPr>
      <w:ind w:left="850" w:right="0" w:firstLine="0"/>
      <w:spacing w:before="0" w:after="57"/>
    </w:pPr>
  </w:style>
  <w:style w:type="paragraph" w:styleId="922">
    <w:name w:val="toc 5"/>
    <w:basedOn w:val="868"/>
    <w:uiPriority w:val="39"/>
    <w:unhideWhenUsed/>
    <w:pPr>
      <w:ind w:left="1134" w:right="0" w:firstLine="0"/>
      <w:spacing w:before="0" w:after="57"/>
    </w:pPr>
  </w:style>
  <w:style w:type="paragraph" w:styleId="923">
    <w:name w:val="toc 6"/>
    <w:basedOn w:val="868"/>
    <w:uiPriority w:val="39"/>
    <w:unhideWhenUsed/>
    <w:pPr>
      <w:ind w:left="1417" w:right="0" w:firstLine="0"/>
      <w:spacing w:before="0" w:after="57"/>
    </w:pPr>
  </w:style>
  <w:style w:type="paragraph" w:styleId="924">
    <w:name w:val="toc 7"/>
    <w:basedOn w:val="868"/>
    <w:uiPriority w:val="39"/>
    <w:unhideWhenUsed/>
    <w:pPr>
      <w:ind w:left="1701" w:right="0" w:firstLine="0"/>
      <w:spacing w:before="0" w:after="57"/>
    </w:pPr>
  </w:style>
  <w:style w:type="paragraph" w:styleId="925">
    <w:name w:val="toc 8"/>
    <w:basedOn w:val="868"/>
    <w:uiPriority w:val="39"/>
    <w:unhideWhenUsed/>
    <w:pPr>
      <w:ind w:left="1984" w:right="0" w:firstLine="0"/>
      <w:spacing w:before="0" w:after="57"/>
    </w:pPr>
  </w:style>
  <w:style w:type="paragraph" w:styleId="926">
    <w:name w:val="toc 9"/>
    <w:basedOn w:val="868"/>
    <w:uiPriority w:val="39"/>
    <w:unhideWhenUsed/>
    <w:pPr>
      <w:ind w:left="2268" w:right="0" w:firstLine="0"/>
      <w:spacing w:before="0" w:after="57"/>
    </w:pPr>
  </w:style>
  <w:style w:type="paragraph" w:styleId="927">
    <w:name w:val="Index Heading"/>
    <w:basedOn w:val="905"/>
  </w:style>
  <w:style w:type="paragraph" w:styleId="92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929">
    <w:name w:val="table of figures"/>
    <w:basedOn w:val="868"/>
    <w:uiPriority w:val="99"/>
    <w:unhideWhenUsed/>
    <w:pPr>
      <w:spacing w:before="0" w:after="0" w:afterAutospacing="0"/>
    </w:pPr>
  </w:style>
  <w:style w:type="paragraph" w:styleId="930">
    <w:name w:val="index heading1"/>
    <w:basedOn w:val="868"/>
    <w:qFormat/>
    <w:pPr>
      <w:suppressLineNumbers/>
    </w:pPr>
    <w:rPr>
      <w:rFonts w:cs="Lucida Sans"/>
    </w:rPr>
  </w:style>
  <w:style w:type="paragraph" w:styleId="931" w:customStyle="1">
    <w:name w:val="Верхний и нижний колонтитулы"/>
    <w:basedOn w:val="868"/>
    <w:qFormat/>
  </w:style>
  <w:style w:type="paragraph" w:styleId="932">
    <w:name w:val="Колонтитул"/>
    <w:basedOn w:val="868"/>
    <w:qFormat/>
  </w:style>
  <w:style w:type="paragraph" w:styleId="933">
    <w:name w:val="Header"/>
    <w:basedOn w:val="86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34">
    <w:name w:val="Footer"/>
    <w:basedOn w:val="86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935" w:default="1">
    <w:name w:val="No List"/>
    <w:uiPriority w:val="99"/>
    <w:semiHidden/>
    <w:unhideWhenUsed/>
    <w:qFormat/>
  </w:style>
  <w:style w:type="table" w:styleId="9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socportal.admhmao.ru/" TargetMode="External"/><Relationship Id="rId17" Type="http://schemas.openxmlformats.org/officeDocument/2006/relationships/hyperlink" Target="https://socportal.admhmao.ru/" TargetMode="External"/><Relationship Id="rId18" Type="http://schemas.openxmlformats.org/officeDocument/2006/relationships/hyperlink" Target="https://socportal.admhmao.ru/" TargetMode="External"/><Relationship Id="rId19" Type="http://schemas.openxmlformats.org/officeDocument/2006/relationships/hyperlink" Target="https://socportal.admhmao.ru/" TargetMode="External"/><Relationship Id="rId20" Type="http://schemas.openxmlformats.org/officeDocument/2006/relationships/hyperlink" Target="https://tourism.admhmao.ru/gosudarstvennaya-usluga-v-sfere-turizma/" TargetMode="External"/><Relationship Id="rId21" Type="http://schemas.openxmlformats.org/officeDocument/2006/relationships/hyperlink" Target="https://tourism.admhmao.ru/" TargetMode="External"/><Relationship Id="rId22" Type="http://schemas.openxmlformats.org/officeDocument/2006/relationships/hyperlink" Target="https://socportal.admhmao.ru/" TargetMode="External"/><Relationship Id="rId23" Type="http://schemas.openxmlformats.org/officeDocument/2006/relationships/hyperlink" Target="https://socportal.admhmao.ru/" TargetMode="External"/><Relationship Id="rId24" Type="http://schemas.openxmlformats.org/officeDocument/2006/relationships/hyperlink" Target="https://tourism.admhmao.ru/gosudarstvennaya-usluga-v-sfere-turizma/" TargetMode="External"/><Relationship Id="rId25" Type="http://schemas.openxmlformats.org/officeDocument/2006/relationships/hyperlink" Target="https://tourism.admhmao.ru/gosudarstvennaya-usluga-v-sfere-turizma" TargetMode="External"/><Relationship Id="rId26" Type="http://schemas.openxmlformats.org/officeDocument/2006/relationships/hyperlink" Target="mailto:DudnikovDV@admhmao.ru" TargetMode="External"/><Relationship Id="rId27" Type="http://schemas.openxmlformats.org/officeDocument/2006/relationships/hyperlink" Target="mailto:KolominskiyVV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FB8-D719-4DEB-B70E-9391135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ИЮ</dc:creator>
  <dc:description/>
  <dc:language>ru-RU</dc:language>
  <cp:lastModifiedBy>DudnikovDV</cp:lastModifiedBy>
  <cp:revision>38</cp:revision>
  <dcterms:created xsi:type="dcterms:W3CDTF">2022-05-18T10:02:00Z</dcterms:created>
  <dcterms:modified xsi:type="dcterms:W3CDTF">2025-03-13T13:03:05Z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