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9" w:rsidRPr="00EB3619" w:rsidRDefault="00EB3619" w:rsidP="002B3424">
      <w:pPr>
        <w:jc w:val="both"/>
        <w:rPr>
          <w:rFonts w:ascii="Times New Roman" w:hAnsi="Times New Roman" w:cs="Times New Roman"/>
          <w:b/>
        </w:rPr>
      </w:pPr>
      <w:r w:rsidRPr="00EB3619">
        <w:rPr>
          <w:rFonts w:ascii="Times New Roman" w:hAnsi="Times New Roman" w:cs="Times New Roman"/>
          <w:b/>
        </w:rPr>
        <w:t>Изменения в жилищном законодательстве:</w:t>
      </w:r>
    </w:p>
    <w:p w:rsidR="00EB3619" w:rsidRDefault="00337F84" w:rsidP="00EB3619">
      <w:pPr>
        <w:ind w:firstLine="708"/>
        <w:jc w:val="both"/>
        <w:rPr>
          <w:rFonts w:ascii="Times New Roman" w:hAnsi="Times New Roman" w:cs="Times New Roman"/>
        </w:rPr>
      </w:pPr>
      <w:r w:rsidRPr="00EB3619">
        <w:rPr>
          <w:rFonts w:ascii="Times New Roman" w:hAnsi="Times New Roman" w:cs="Times New Roman"/>
        </w:rPr>
        <w:t>Изменится порядок поверки счётчиков. Теперь не нужен бумажный документ, подтверждающий проведённую поверку. Достаточно записи в электронной базе. Бумажные свидетельства продолжат своё существование, но метрологические бюро будут их выдавать только по желанию собственника. Нововведение поможет защитить жителей от мошенников, выдающих себя за сотрудников ЖЭКа и предлагающих поверить прибор на дому, выдавая при этом поддельные документы о поверке. В 2020 году вступили в силу изменения, которые регламентируют правила проведения поверки приборов учета</w:t>
      </w:r>
    </w:p>
    <w:p w:rsidR="002B3424" w:rsidRPr="00EB3619" w:rsidRDefault="002B3424" w:rsidP="00EB3619">
      <w:pPr>
        <w:ind w:firstLine="708"/>
        <w:jc w:val="both"/>
        <w:rPr>
          <w:rFonts w:ascii="Times New Roman" w:hAnsi="Times New Roman" w:cs="Times New Roman"/>
        </w:rPr>
      </w:pPr>
      <w:r w:rsidRPr="00EB3619">
        <w:rPr>
          <w:rFonts w:ascii="Times New Roman" w:hAnsi="Times New Roman" w:cs="Times New Roman"/>
          <w:b/>
          <w:bCs/>
        </w:rPr>
        <w:t>На 2020 год вводятся средние по субъектам РФ индексы изменения размера вносимой гражданами платы за ЖКУ</w:t>
      </w:r>
    </w:p>
    <w:p w:rsidR="002B3424" w:rsidRPr="00EB3619" w:rsidRDefault="002B3424" w:rsidP="00EB3619">
      <w:pPr>
        <w:ind w:firstLine="708"/>
        <w:jc w:val="both"/>
        <w:rPr>
          <w:rFonts w:ascii="Times New Roman" w:hAnsi="Times New Roman" w:cs="Times New Roman"/>
        </w:rPr>
      </w:pPr>
      <w:r w:rsidRPr="00EB3619">
        <w:rPr>
          <w:rFonts w:ascii="Times New Roman" w:hAnsi="Times New Roman" w:cs="Times New Roman"/>
        </w:rPr>
        <w:t>Устанавливаются дифференцированные индексы на первое полугодие и на второе полугодие 2020 года.</w:t>
      </w:r>
    </w:p>
    <w:p w:rsidR="002B3424" w:rsidRPr="00EB3619" w:rsidRDefault="002B3424" w:rsidP="002B3424">
      <w:pPr>
        <w:jc w:val="both"/>
        <w:rPr>
          <w:rFonts w:ascii="Times New Roman" w:hAnsi="Times New Roman" w:cs="Times New Roman"/>
        </w:rPr>
      </w:pPr>
      <w:r w:rsidRPr="00EB3619">
        <w:rPr>
          <w:rFonts w:ascii="Times New Roman" w:hAnsi="Times New Roman" w:cs="Times New Roman"/>
        </w:rPr>
        <w:t>(</w:t>
      </w:r>
      <w:hyperlink r:id="rId5" w:history="1">
        <w:r w:rsidRPr="00EB361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EB3619">
        <w:rPr>
          <w:rFonts w:ascii="Times New Roman" w:hAnsi="Times New Roman" w:cs="Times New Roman"/>
        </w:rPr>
        <w:t xml:space="preserve"> Правительства РФ от 29.10.2019 N 2556-р)</w:t>
      </w:r>
    </w:p>
    <w:p w:rsidR="002B3424" w:rsidRPr="00EB3619" w:rsidRDefault="002B3424" w:rsidP="00EB3619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 xml:space="preserve">Скорректированы </w:t>
      </w:r>
      <w:hyperlink r:id="rId6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правила</w:t>
        </w:r>
      </w:hyperlink>
      <w:r w:rsidRPr="00EB3619">
        <w:rPr>
          <w:rFonts w:ascii="Times New Roman" w:hAnsi="Times New Roman" w:cs="Times New Roman"/>
          <w:b/>
          <w:bCs/>
        </w:rPr>
        <w:t xml:space="preserve"> содержания общего имущества в многоквартирном доме и </w:t>
      </w:r>
      <w:hyperlink r:id="rId7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правила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</w:p>
    <w:p w:rsidR="002B3424" w:rsidRPr="00EB3619" w:rsidRDefault="002B3424" w:rsidP="00EB3619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 xml:space="preserve">Предусматривается, что в состав общего имущества не включается интеллектуальная система учета электрической энергии (мощности), в том числе коллективные (общедомовые) приборы учета электрической энергии, обеспечивающие возможность их присоединения к интеллектуальным системам учета электрической энергии (мощности), обязанность по приобретению, установке, замене, допуску в эксплуатацию, а также последующей </w:t>
      </w:r>
      <w:proofErr w:type="gramStart"/>
      <w:r w:rsidRPr="00EB3619">
        <w:rPr>
          <w:rFonts w:ascii="Times New Roman" w:hAnsi="Times New Roman" w:cs="Times New Roman"/>
          <w:b/>
          <w:bCs/>
        </w:rPr>
        <w:t>эксплуатации</w:t>
      </w:r>
      <w:proofErr w:type="gramEnd"/>
      <w:r w:rsidRPr="00EB3619">
        <w:rPr>
          <w:rFonts w:ascii="Times New Roman" w:hAnsi="Times New Roman" w:cs="Times New Roman"/>
          <w:b/>
          <w:bCs/>
        </w:rPr>
        <w:t xml:space="preserve"> которых возлагается на гарантирующих поставщиков электрической энергии.</w:t>
      </w:r>
    </w:p>
    <w:p w:rsidR="00EB3619" w:rsidRDefault="002B3424" w:rsidP="00EB3619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>После присоединения прибора учета электрической энергии к интеллектуальной системе учета электрической энергии (мощности) в договор, содержащий положения о предоставлении коммунальных услуг, включаются положения об осуществлении сбора, обработки и передачи показаний приборов учета электрической энергии в автоматическом режиме с использованием такой системы.</w:t>
      </w:r>
    </w:p>
    <w:p w:rsidR="002B3424" w:rsidRPr="00EB3619" w:rsidRDefault="002B3424" w:rsidP="00EB3619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proofErr w:type="gramStart"/>
      <w:r w:rsidRPr="00EB3619">
        <w:rPr>
          <w:rFonts w:ascii="Times New Roman" w:hAnsi="Times New Roman" w:cs="Times New Roman"/>
          <w:b/>
          <w:bCs/>
        </w:rPr>
        <w:t xml:space="preserve">Установка и эксплуатация индивидуальных, общих (квартирных), комнатных приборов учета электрической энергии в многоквартирном доме, а также эксплуатация коллективных (общедомовых) приборов учета, за исключением случаев организации учета электрической энергии в нежилых помещениях многоквартирного дома, электроснабжение которых осуществляется без использования общего имущества, осуществляются гарантирующим поставщиком в соответствии с законодательством об электроэнергетике с учетом положений </w:t>
      </w:r>
      <w:hyperlink r:id="rId8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Правил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предоставления коммунальных услуг собственникам и пользователям помещений</w:t>
      </w:r>
      <w:proofErr w:type="gramEnd"/>
      <w:r w:rsidRPr="00EB3619">
        <w:rPr>
          <w:rFonts w:ascii="Times New Roman" w:hAnsi="Times New Roman" w:cs="Times New Roman"/>
          <w:b/>
          <w:bCs/>
        </w:rPr>
        <w:t xml:space="preserve"> в многоквартирных домах и жилых домов.</w:t>
      </w:r>
    </w:p>
    <w:p w:rsidR="002B3424" w:rsidRPr="00EB3619" w:rsidRDefault="002B3424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 xml:space="preserve">Определение мест установки приборов учета, установка и ввод в эксплуатацию приборов учета, проведение контрольных снятий показаний и проверок приборов учета, установленных в отношении жилых домов (домовладений), установка и ввод в </w:t>
      </w:r>
      <w:proofErr w:type="gramStart"/>
      <w:r w:rsidRPr="00EB3619">
        <w:rPr>
          <w:rFonts w:ascii="Times New Roman" w:hAnsi="Times New Roman" w:cs="Times New Roman"/>
          <w:b/>
          <w:bCs/>
        </w:rPr>
        <w:t>эксплуатацию</w:t>
      </w:r>
      <w:proofErr w:type="gramEnd"/>
      <w:r w:rsidRPr="00EB3619">
        <w:rPr>
          <w:rFonts w:ascii="Times New Roman" w:hAnsi="Times New Roman" w:cs="Times New Roman"/>
          <w:b/>
          <w:bCs/>
        </w:rPr>
        <w:t xml:space="preserve"> и проведение проверок коллективных (общедомовых) приборов учета осуществляются сетевыми организациями и гарантирующими поставщиками.</w:t>
      </w:r>
    </w:p>
    <w:p w:rsidR="002B3424" w:rsidRPr="00EB3619" w:rsidRDefault="002B3424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proofErr w:type="gramStart"/>
      <w:r w:rsidRPr="00EB3619">
        <w:rPr>
          <w:rFonts w:ascii="Times New Roman" w:hAnsi="Times New Roman" w:cs="Times New Roman"/>
          <w:b/>
          <w:bCs/>
        </w:rPr>
        <w:t>Начиная с 1 января 2022 года допуску в эксплуатацию подлежат коллективные (общедомовые</w:t>
      </w:r>
      <w:proofErr w:type="gramEnd"/>
      <w:r w:rsidRPr="00EB3619">
        <w:rPr>
          <w:rFonts w:ascii="Times New Roman" w:hAnsi="Times New Roman" w:cs="Times New Roman"/>
          <w:b/>
          <w:bCs/>
        </w:rPr>
        <w:t xml:space="preserve">), индивидуальные, общие (квартирные), комнатные приборы учета электрической энергии, соответствующие </w:t>
      </w:r>
      <w:hyperlink r:id="rId9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Правилам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предоставления доступа к минимальному набору функций интеллектуальных систем учета электрической энергии (мощности).</w:t>
      </w:r>
    </w:p>
    <w:p w:rsidR="002B3424" w:rsidRPr="00EB3619" w:rsidRDefault="002B3424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lastRenderedPageBreak/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2B3424" w:rsidRPr="00EB3619" w:rsidRDefault="002B3424" w:rsidP="002B3424">
      <w:pPr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>(</w:t>
      </w:r>
      <w:hyperlink r:id="rId10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Постановление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Правительства РФ от 29.06.2020 N 950; </w:t>
      </w:r>
      <w:hyperlink r:id="rId11" w:history="1">
        <w:r w:rsidRPr="00EB3619">
          <w:rPr>
            <w:rStyle w:val="a3"/>
            <w:rFonts w:ascii="Times New Roman" w:hAnsi="Times New Roman" w:cs="Times New Roman"/>
            <w:b/>
            <w:bCs/>
          </w:rPr>
          <w:t>Информация</w:t>
        </w:r>
      </w:hyperlink>
      <w:r w:rsidRPr="00EB3619">
        <w:rPr>
          <w:rFonts w:ascii="Times New Roman" w:hAnsi="Times New Roman" w:cs="Times New Roman"/>
          <w:b/>
          <w:bCs/>
        </w:rPr>
        <w:t xml:space="preserve"> Минэнерго России)</w:t>
      </w:r>
    </w:p>
    <w:p w:rsidR="00EB3619" w:rsidRPr="00EB3619" w:rsidRDefault="00EB3619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 xml:space="preserve">Возобновляет свое действие </w:t>
      </w:r>
      <w:hyperlink r:id="rId12" w:history="1">
        <w:r w:rsidRPr="00EB3619">
          <w:rPr>
            <w:rStyle w:val="a3"/>
            <w:rFonts w:ascii="Times New Roman" w:hAnsi="Times New Roman" w:cs="Times New Roman"/>
            <w:b/>
            <w:bCs/>
          </w:rPr>
          <w:t>абзац второй пункта 41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Правил предоставления субсидий на оплату жилого помещения и коммунальных услуг, утвержденных Постановлением Правительства РФ от 14.12.2005 N 761, в отношении граждан, являющихся получателями субсидий на оплату жилого помещения и коммунальных услуг</w:t>
      </w:r>
    </w:p>
    <w:p w:rsidR="00EB3619" w:rsidRPr="00EB3619" w:rsidRDefault="00EB3619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>Указанным положением предусматривается, что субсидия предоставляется сроком на 6 месяцев.</w:t>
      </w:r>
    </w:p>
    <w:p w:rsidR="00EB3619" w:rsidRPr="00EB3619" w:rsidRDefault="00EB3619" w:rsidP="00EB3619">
      <w:pPr>
        <w:ind w:firstLine="708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B3619">
        <w:rPr>
          <w:rFonts w:ascii="Times New Roman" w:hAnsi="Times New Roman" w:cs="Times New Roman"/>
          <w:b/>
          <w:bCs/>
        </w:rPr>
        <w:t xml:space="preserve">Напомним, что если срок предоставления субсидии на оплату жилого помещения и коммунальных услуг истекает в период с 1 апреля по 1 октября 2020 года, субсидия предоставляется в том же размере на следующие 6 месяцев в </w:t>
      </w:r>
      <w:proofErr w:type="spellStart"/>
      <w:r w:rsidRPr="00EB3619">
        <w:rPr>
          <w:rFonts w:ascii="Times New Roman" w:hAnsi="Times New Roman" w:cs="Times New Roman"/>
          <w:b/>
          <w:bCs/>
        </w:rPr>
        <w:t>беззаявительном</w:t>
      </w:r>
      <w:proofErr w:type="spellEnd"/>
      <w:r w:rsidRPr="00EB3619">
        <w:rPr>
          <w:rFonts w:ascii="Times New Roman" w:hAnsi="Times New Roman" w:cs="Times New Roman"/>
          <w:b/>
          <w:bCs/>
        </w:rPr>
        <w:t xml:space="preserve"> порядке с перерасчетом ее размера после представления необходимых документов.</w:t>
      </w:r>
    </w:p>
    <w:p w:rsidR="00EB3619" w:rsidRPr="00EB3619" w:rsidRDefault="00EB3619" w:rsidP="00EB3619">
      <w:pPr>
        <w:jc w:val="both"/>
        <w:rPr>
          <w:rFonts w:ascii="Times New Roman" w:hAnsi="Times New Roman" w:cs="Times New Roman"/>
          <w:b/>
          <w:bCs/>
        </w:rPr>
      </w:pPr>
      <w:r w:rsidRPr="00EB3619">
        <w:rPr>
          <w:rFonts w:ascii="Times New Roman" w:hAnsi="Times New Roman" w:cs="Times New Roman"/>
          <w:b/>
          <w:bCs/>
        </w:rPr>
        <w:t>(</w:t>
      </w:r>
      <w:hyperlink r:id="rId13" w:history="1">
        <w:r w:rsidRPr="00EB3619">
          <w:rPr>
            <w:rStyle w:val="a3"/>
            <w:rFonts w:ascii="Times New Roman" w:hAnsi="Times New Roman" w:cs="Times New Roman"/>
            <w:b/>
            <w:bCs/>
          </w:rPr>
          <w:t>Постановление</w:t>
        </w:r>
      </w:hyperlink>
      <w:r w:rsidRPr="00EB3619">
        <w:rPr>
          <w:rFonts w:ascii="Times New Roman" w:hAnsi="Times New Roman" w:cs="Times New Roman"/>
          <w:b/>
          <w:bCs/>
        </w:rPr>
        <w:t xml:space="preserve"> Правительства РФ от 02.04.2020 N 420)</w:t>
      </w:r>
    </w:p>
    <w:p w:rsidR="002B3424" w:rsidRPr="00EB3619" w:rsidRDefault="002B3424" w:rsidP="002B3424">
      <w:pPr>
        <w:jc w:val="both"/>
        <w:rPr>
          <w:rFonts w:ascii="Times New Roman" w:hAnsi="Times New Roman" w:cs="Times New Roman"/>
          <w:b/>
          <w:bCs/>
        </w:rPr>
      </w:pPr>
    </w:p>
    <w:p w:rsidR="00337F84" w:rsidRPr="00EB3619" w:rsidRDefault="00337F84" w:rsidP="002B3424">
      <w:pPr>
        <w:jc w:val="both"/>
        <w:rPr>
          <w:rFonts w:ascii="Times New Roman" w:hAnsi="Times New Roman" w:cs="Times New Roman"/>
        </w:rPr>
      </w:pPr>
    </w:p>
    <w:sectPr w:rsidR="00337F84" w:rsidRPr="00EB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F1"/>
    <w:rsid w:val="002B3424"/>
    <w:rsid w:val="00337F84"/>
    <w:rsid w:val="007538F1"/>
    <w:rsid w:val="00B47D8B"/>
    <w:rsid w:val="00B77A5D"/>
    <w:rsid w:val="00E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45C8E9969FE8CB8CEA0C80A55AEC35064030F15D55C3B81E401945972F324CD92195D32743035DA4BD66F3CF6E11D2D92CCACE1E77303Z1LCG" TargetMode="External"/><Relationship Id="rId13" Type="http://schemas.openxmlformats.org/officeDocument/2006/relationships/hyperlink" Target="consultantplus://offline/ref=8C07CF615F2F2681BA64E82A48E23BA709E9C7F11F9D4FAF8FFB28B138D97A59D473B6BACC0F4CC5B61E6984AE442B958BCB789F56D77C82u1M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45C8E9969FE8CB8CEA0C80A55AEC35064030F15D55C3B81E401945972F324CD92195D32743035DA4BD66F3CF6E11D2D92CCACE1E77303Z1LCG" TargetMode="External"/><Relationship Id="rId12" Type="http://schemas.openxmlformats.org/officeDocument/2006/relationships/hyperlink" Target="consultantplus://offline/ref=8C07CF615F2F2681BA64E82A48E23BA709E9CEFE1F9A4FAF8FFB28B138D97A59D473B6BACC0F4DCDB91E6984AE442B958BCB789F56D77C82u1M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45C8E9969FE8CB8CEA0C80A55AEC35064030F13DD5C3B81E401945972F324CD92195D32743034DA4BD66F3CF6E11D2D92CCACE1E77303Z1LCG" TargetMode="External"/><Relationship Id="rId11" Type="http://schemas.openxmlformats.org/officeDocument/2006/relationships/hyperlink" Target="consultantplus://offline/ref=A4645C8E9969FE8CB8CEA0C80A55AEC35064030E18D75C3B81E401945972F324DF92415132722E37DB5E803E7AZAL3G" TargetMode="External"/><Relationship Id="rId5" Type="http://schemas.openxmlformats.org/officeDocument/2006/relationships/hyperlink" Target="consultantplus://offline/ref=62C793E2F9BCF71B73B237F038351A8E05EDAFB9D88D6F01846553E84E1394F3FE0F1477C957CB84C8B053E81Cz6J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645C8E9969FE8CB8CEA0C80A55AEC35064030E18D45C3B81E401945972F324DF92415132722E37DB5E803E7AZAL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45C8E9969FE8CB8CEA0C80A55AEC35064000813D25C3B81E401945972F324CD92195D32743037D84BD66F3CF6E11D2D92CCACE1E77303Z1L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2020-10-06T05:22:00Z</dcterms:created>
  <dcterms:modified xsi:type="dcterms:W3CDTF">2020-10-06T06:19:00Z</dcterms:modified>
</cp:coreProperties>
</file>