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29DA7">
      <w:pPr>
        <w:jc w:val="center"/>
        <w:rPr>
          <w:b/>
        </w:rPr>
      </w:pPr>
      <w:r>
        <w:drawing>
          <wp:inline distT="0" distB="0" distL="114300" distR="114300">
            <wp:extent cx="645160" cy="885190"/>
            <wp:effectExtent l="0" t="0" r="2540" b="10160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337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14:paraId="12F6EE52">
      <w:pPr>
        <w:pStyle w:val="4"/>
        <w:rPr>
          <w:b/>
          <w:sz w:val="20"/>
        </w:rPr>
      </w:pPr>
      <w:r>
        <w:rPr>
          <w:b/>
          <w:sz w:val="20"/>
        </w:rPr>
        <w:t xml:space="preserve">ХАНТЫ-МАНСИЙСКИЙ АВТОНОМНЫЙ ОКРУГ – ЮГРА         </w:t>
      </w:r>
    </w:p>
    <w:p w14:paraId="6B0DE24A">
      <w:pPr>
        <w:jc w:val="right"/>
        <w:rPr>
          <w:sz w:val="24"/>
          <w:szCs w:val="24"/>
        </w:rPr>
      </w:pPr>
    </w:p>
    <w:p w14:paraId="55307737">
      <w:pPr>
        <w:pStyle w:val="2"/>
        <w:rPr>
          <w:szCs w:val="28"/>
          <w:lang w:val="ru-RU"/>
        </w:rPr>
      </w:pPr>
    </w:p>
    <w:p w14:paraId="0FED2E4F">
      <w:pPr>
        <w:pStyle w:val="2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 w14:paraId="343AA82D">
      <w:pPr>
        <w:jc w:val="right"/>
        <w:rPr>
          <w:b/>
          <w:sz w:val="24"/>
          <w:szCs w:val="24"/>
        </w:rPr>
      </w:pPr>
    </w:p>
    <w:p w14:paraId="2B275D06">
      <w:pPr>
        <w:jc w:val="center"/>
        <w:rPr>
          <w:b/>
        </w:rPr>
      </w:pPr>
    </w:p>
    <w:p w14:paraId="2E85B713">
      <w:pPr>
        <w:pStyle w:val="2"/>
      </w:pPr>
      <w:r>
        <w:t>ПОСТАНОВЛЕНИЕ</w:t>
      </w:r>
    </w:p>
    <w:p w14:paraId="61A5F226">
      <w:pPr>
        <w:pStyle w:val="10"/>
        <w:rPr>
          <w:lang w:val="ru-RU"/>
        </w:rPr>
      </w:pPr>
    </w:p>
    <w:p w14:paraId="7A969821">
      <w:pPr>
        <w:pStyle w:val="10"/>
        <w:jc w:val="right"/>
        <w:rPr>
          <w:lang w:val="ru-RU"/>
        </w:rPr>
      </w:pPr>
      <w:r>
        <w:rPr>
          <w:lang w:val="ru-RU"/>
        </w:rPr>
        <w:t>проект</w:t>
      </w:r>
    </w:p>
    <w:p w14:paraId="5A6A741A">
      <w:pPr>
        <w:pStyle w:val="10"/>
        <w:jc w:val="right"/>
        <w:rPr>
          <w:lang w:val="ru-RU"/>
        </w:rPr>
      </w:pPr>
    </w:p>
    <w:p w14:paraId="7825DA7C">
      <w:pPr>
        <w:pStyle w:val="10"/>
        <w:jc w:val="both"/>
        <w:rPr>
          <w:rFonts w:hint="default"/>
          <w:lang w:val="en-US"/>
        </w:rPr>
      </w:pPr>
      <w:r>
        <w:t xml:space="preserve">от </w:t>
      </w:r>
      <w:r>
        <w:rPr>
          <w:rFonts w:hint="default"/>
          <w:lang w:val="ru-RU"/>
        </w:rPr>
        <w:t xml:space="preserve">        декабря </w:t>
      </w:r>
      <w:r>
        <w:rPr>
          <w:lang w:val="ru-RU"/>
        </w:rPr>
        <w:t>2</w:t>
      </w:r>
      <w:r>
        <w:t>0</w:t>
      </w:r>
      <w:r>
        <w:rPr>
          <w:rFonts w:hint="default"/>
          <w:lang w:val="ru-RU"/>
        </w:rPr>
        <w:t>24</w:t>
      </w:r>
      <w:r>
        <w:rPr>
          <w:lang w:val="ru-RU"/>
        </w:rPr>
        <w:t xml:space="preserve"> </w:t>
      </w:r>
      <w:r>
        <w:t xml:space="preserve">года                                                 </w:t>
      </w:r>
      <w:r>
        <w:rPr>
          <w:lang w:val="ru-RU"/>
        </w:rPr>
        <w:t xml:space="preserve">   </w:t>
      </w:r>
      <w:r>
        <w:t xml:space="preserve">                           </w:t>
      </w:r>
      <w:r>
        <w:rPr>
          <w:lang w:val="ru-RU"/>
        </w:rPr>
        <w:t xml:space="preserve">            </w:t>
      </w:r>
      <w:r>
        <w:t xml:space="preserve">  </w:t>
      </w:r>
      <w:r>
        <w:rPr>
          <w:lang w:val="ru-RU"/>
        </w:rPr>
        <w:t xml:space="preserve">         </w:t>
      </w:r>
      <w:r>
        <w:t>№</w:t>
      </w:r>
      <w:r>
        <w:rPr>
          <w:lang w:val="ru-RU"/>
        </w:rPr>
        <w:t xml:space="preserve"> </w:t>
      </w:r>
    </w:p>
    <w:p w14:paraId="52FA691E">
      <w:pPr>
        <w:pStyle w:val="10"/>
        <w:rPr>
          <w:szCs w:val="24"/>
        </w:rPr>
      </w:pPr>
    </w:p>
    <w:p w14:paraId="5DEB2749">
      <w:pPr>
        <w:pStyle w:val="10"/>
        <w:rPr>
          <w:szCs w:val="24"/>
        </w:rPr>
      </w:pPr>
    </w:p>
    <w:p w14:paraId="2E45CF58">
      <w:pPr>
        <w:pStyle w:val="10"/>
        <w:rPr>
          <w:i/>
          <w:sz w:val="20"/>
          <w:lang w:val="ru-RU"/>
        </w:rPr>
      </w:pPr>
      <w:r>
        <w:rPr>
          <w:b/>
        </w:rPr>
        <w:t>О</w:t>
      </w:r>
      <w:r>
        <w:rPr>
          <w:b/>
          <w:lang w:val="ru-RU"/>
        </w:rPr>
        <w:t xml:space="preserve"> внесении изменений в приложение к постановлению администрации Белоярского района от 18 августа 2014 года № 1170</w:t>
      </w:r>
    </w:p>
    <w:p w14:paraId="00D2A00E">
      <w:pPr>
        <w:pStyle w:val="10"/>
        <w:rPr>
          <w:szCs w:val="24"/>
        </w:rPr>
      </w:pPr>
    </w:p>
    <w:p w14:paraId="38A81D68">
      <w:pPr>
        <w:pStyle w:val="10"/>
        <w:rPr>
          <w:szCs w:val="24"/>
        </w:rPr>
      </w:pPr>
    </w:p>
    <w:p w14:paraId="58C7FA95">
      <w:pPr>
        <w:pStyle w:val="10"/>
        <w:rPr>
          <w:szCs w:val="24"/>
        </w:rPr>
      </w:pPr>
    </w:p>
    <w:p w14:paraId="0B00398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pacing w:val="60"/>
          <w:sz w:val="24"/>
          <w:szCs w:val="24"/>
        </w:rPr>
        <w:t>Постановля</w:t>
      </w:r>
      <w:r>
        <w:rPr>
          <w:sz w:val="24"/>
          <w:szCs w:val="24"/>
        </w:rPr>
        <w:t>ю:</w:t>
      </w:r>
    </w:p>
    <w:p w14:paraId="100A627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</w:t>
      </w:r>
      <w:r>
        <w:rPr>
          <w:rFonts w:hint="default"/>
          <w:sz w:val="24"/>
          <w:szCs w:val="24"/>
          <w:lang w:val="ru-RU"/>
        </w:rPr>
        <w:t xml:space="preserve">раздел </w:t>
      </w:r>
      <w:r>
        <w:rPr>
          <w:rFonts w:hint="default"/>
          <w:sz w:val="24"/>
          <w:szCs w:val="24"/>
          <w:lang w:val="en-US"/>
        </w:rPr>
        <w:t>I</w:t>
      </w:r>
      <w:r>
        <w:rPr>
          <w:rFonts w:hint="default"/>
          <w:sz w:val="24"/>
          <w:szCs w:val="24"/>
          <w:lang w:val="ru-RU"/>
        </w:rPr>
        <w:t xml:space="preserve"> «Сведения о муниципальных услугах, предоставляемых органами местного самоуправления муниципального образования Белоярский район</w:t>
      </w:r>
      <w:bookmarkStart w:id="0" w:name="_GoBack"/>
      <w:bookmarkEnd w:id="0"/>
      <w:r>
        <w:rPr>
          <w:rFonts w:hint="default"/>
          <w:sz w:val="24"/>
          <w:szCs w:val="24"/>
          <w:lang w:val="ru-RU"/>
        </w:rPr>
        <w:t xml:space="preserve">» </w:t>
      </w:r>
      <w:r>
        <w:rPr>
          <w:sz w:val="24"/>
          <w:szCs w:val="24"/>
        </w:rPr>
        <w:t>приложени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</w:rPr>
        <w:t xml:space="preserve"> «Реестр муниципальных услуг Белоярского района» к постановлению администрации Белоярского района от 18 августа 2014 года № 1170 «Об утверждении реестра муниципальных услуг Белоярского района» </w:t>
      </w:r>
      <w:r>
        <w:rPr>
          <w:sz w:val="24"/>
          <w:szCs w:val="24"/>
          <w:lang w:val="ru-RU"/>
        </w:rPr>
        <w:t>следующие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изменени</w:t>
      </w:r>
      <w:r>
        <w:rPr>
          <w:sz w:val="24"/>
          <w:szCs w:val="24"/>
          <w:lang w:val="ru-RU"/>
        </w:rPr>
        <w:t>я</w:t>
      </w:r>
      <w:r>
        <w:rPr>
          <w:rFonts w:hint="default"/>
          <w:sz w:val="24"/>
          <w:szCs w:val="24"/>
          <w:lang w:val="ru-RU"/>
        </w:rPr>
        <w:t>:</w:t>
      </w:r>
    </w:p>
    <w:p w14:paraId="306361E0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567" w:left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позицию </w:t>
      </w:r>
      <w:r>
        <w:rPr>
          <w:rFonts w:hint="default"/>
          <w:sz w:val="24"/>
          <w:szCs w:val="24"/>
          <w:highlight w:val="none"/>
          <w:lang w:val="ru-RU"/>
        </w:rPr>
        <w:t xml:space="preserve">5 </w:t>
      </w:r>
      <w:r>
        <w:rPr>
          <w:rFonts w:hint="default"/>
          <w:sz w:val="24"/>
          <w:szCs w:val="24"/>
          <w:lang w:val="ru-RU"/>
        </w:rPr>
        <w:t>изложить в следующей редакции:</w:t>
      </w:r>
    </w:p>
    <w:p w14:paraId="5D11D7D4">
      <w:pPr>
        <w:numPr>
          <w:numId w:val="0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</w:t>
      </w:r>
    </w:p>
    <w:tbl>
      <w:tblPr>
        <w:tblStyle w:val="6"/>
        <w:tblpPr w:leftFromText="180" w:rightFromText="180" w:vertAnchor="text" w:horzAnchor="page" w:tblpX="1351" w:tblpY="273"/>
        <w:tblOverlap w:val="never"/>
        <w:tblW w:w="9785" w:type="dxa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10"/>
        <w:gridCol w:w="2286"/>
        <w:gridCol w:w="3200"/>
        <w:gridCol w:w="3589"/>
      </w:tblGrid>
      <w:tr w14:paraId="67289684">
        <w:trPr>
          <w:trHeight w:val="300" w:hRule="atLeast"/>
          <w:tblHeader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987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№</w:t>
            </w:r>
          </w:p>
          <w:p w14:paraId="30922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п/п</w:t>
            </w:r>
          </w:p>
        </w:tc>
        <w:tc>
          <w:tcPr>
            <w:tcW w:w="2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621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/>
                <w:sz w:val="24"/>
                <w:szCs w:val="24"/>
                <w:highlight w:val="none"/>
              </w:rPr>
              <w:t>Наименование</w:t>
            </w:r>
          </w:p>
          <w:p w14:paraId="732015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/>
                <w:sz w:val="24"/>
                <w:szCs w:val="24"/>
                <w:highlight w:val="none"/>
              </w:rPr>
              <w:t>муниципальной услуги</w:t>
            </w:r>
          </w:p>
        </w:tc>
        <w:tc>
          <w:tcPr>
            <w:tcW w:w="3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DA0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Реквизиты и наименование муниципального правового акта, которым утвержден административный регламент предоставления муниципальной услуги</w:t>
            </w:r>
          </w:p>
        </w:tc>
        <w:tc>
          <w:tcPr>
            <w:tcW w:w="3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AAF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Потребитель муниципальной услуги</w:t>
            </w:r>
          </w:p>
        </w:tc>
      </w:tr>
      <w:tr w14:paraId="650CFD8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5F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ED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6B2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EE9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</w:tr>
      <w:tr w14:paraId="5E3742A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CAC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auto"/>
              <w:outlineLvl w:val="2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5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F0EA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outlineLvl w:val="2"/>
              <w:rPr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szCs w:val="24"/>
                <w:highlight w:val="none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EF99E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ind w:right="-2"/>
              <w:jc w:val="both"/>
              <w:textAlignment w:val="auto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Постановление администрации Белоярского района от 26 октября 2015 года № 1283 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sz w:val="24"/>
                <w:szCs w:val="24"/>
                <w:highlight w:val="none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      </w:r>
            <w:r>
              <w:rPr>
                <w:sz w:val="24"/>
                <w:szCs w:val="24"/>
                <w:highlight w:val="none"/>
              </w:rPr>
              <w:t>»</w:t>
            </w:r>
          </w:p>
        </w:tc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5E9D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both"/>
              <w:textAlignment w:val="auto"/>
              <w:outlineLvl w:val="2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Физические лица, получившие государственный сертификат на материнский (семейный) капитал</w:t>
            </w:r>
          </w:p>
        </w:tc>
      </w:tr>
    </w:tbl>
    <w:p w14:paraId="6DF00802">
      <w:pPr>
        <w:numPr>
          <w:numId w:val="0"/>
        </w:numPr>
        <w:tabs>
          <w:tab w:val="left" w:pos="851"/>
        </w:tabs>
        <w:autoSpaceDE w:val="0"/>
        <w:autoSpaceDN w:val="0"/>
        <w:adjustRightInd w:val="0"/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»;</w:t>
      </w:r>
    </w:p>
    <w:p w14:paraId="7B1F62DB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567" w:leftChars="0" w:firstLine="0" w:firstLineChars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позицию 14</w:t>
      </w:r>
      <w:r>
        <w:rPr>
          <w:rFonts w:hint="default"/>
          <w:sz w:val="24"/>
          <w:szCs w:val="24"/>
          <w:highlight w:val="none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>изложить в следующей редакции:</w:t>
      </w:r>
    </w:p>
    <w:p w14:paraId="34AAB211">
      <w:pPr>
        <w:numPr>
          <w:numId w:val="0"/>
        </w:numPr>
        <w:tabs>
          <w:tab w:val="left" w:pos="851"/>
        </w:tabs>
        <w:autoSpaceDE w:val="0"/>
        <w:autoSpaceDN w:val="0"/>
        <w:adjustRightInd w:val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</w:t>
      </w:r>
    </w:p>
    <w:tbl>
      <w:tblPr>
        <w:tblStyle w:val="6"/>
        <w:tblpPr w:leftFromText="180" w:rightFromText="180" w:vertAnchor="text" w:horzAnchor="page" w:tblpX="1351" w:tblpY="273"/>
        <w:tblOverlap w:val="never"/>
        <w:tblW w:w="9785" w:type="dxa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10"/>
        <w:gridCol w:w="2286"/>
        <w:gridCol w:w="3189"/>
        <w:gridCol w:w="3600"/>
      </w:tblGrid>
      <w:tr w14:paraId="60D3937E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00" w:hRule="atLeast"/>
          <w:tblHeader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A01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№</w:t>
            </w:r>
          </w:p>
          <w:p w14:paraId="0A8ABFF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п/п</w:t>
            </w:r>
          </w:p>
        </w:tc>
        <w:tc>
          <w:tcPr>
            <w:tcW w:w="2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31B2D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/>
                <w:sz w:val="24"/>
                <w:szCs w:val="24"/>
                <w:highlight w:val="none"/>
              </w:rPr>
              <w:t>Наименование</w:t>
            </w:r>
          </w:p>
          <w:p w14:paraId="1CE027B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/>
                <w:sz w:val="24"/>
                <w:szCs w:val="24"/>
                <w:highlight w:val="none"/>
              </w:rPr>
              <w:t>муниципальной услуги</w:t>
            </w:r>
          </w:p>
        </w:tc>
        <w:tc>
          <w:tcPr>
            <w:tcW w:w="31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6AD6A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Реквизиты и наименование муниципального правового акта, которым утвержден административный регламент предоставления муниципальной услуги</w:t>
            </w:r>
          </w:p>
        </w:tc>
        <w:tc>
          <w:tcPr>
            <w:tcW w:w="36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3DD3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Потребитель муниципальной услуги</w:t>
            </w:r>
          </w:p>
        </w:tc>
      </w:tr>
      <w:tr w14:paraId="7D456499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E9BA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E95B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41EAE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2C708D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</w:tr>
      <w:tr w14:paraId="7E6073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9015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14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5620E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highlight w:val="none"/>
              </w:rPr>
              <w:t>Установка информационной вывески, согласование дизайн</w:t>
            </w:r>
            <w:r>
              <w:rPr>
                <w:rFonts w:hint="default"/>
                <w:bCs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/>
                <w:bCs/>
                <w:color w:val="000000"/>
                <w:sz w:val="24"/>
                <w:szCs w:val="24"/>
                <w:highlight w:val="none"/>
              </w:rPr>
              <w:t>-</w:t>
            </w:r>
            <w:r>
              <w:rPr>
                <w:rFonts w:hint="default"/>
                <w:bCs/>
                <w:color w:val="000000"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/>
                <w:bCs/>
                <w:color w:val="000000"/>
                <w:sz w:val="24"/>
                <w:szCs w:val="24"/>
                <w:highlight w:val="none"/>
              </w:rPr>
              <w:t>проекта размещения вывески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F9E62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</w:rPr>
              <w:t xml:space="preserve">Постановление администрации Белоярского района от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12 октября 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default"/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 xml:space="preserve"> года № </w:t>
            </w:r>
            <w:r>
              <w:rPr>
                <w:rFonts w:hint="default"/>
                <w:sz w:val="24"/>
                <w:szCs w:val="24"/>
                <w:lang w:val="ru-RU"/>
              </w:rPr>
              <w:t>607</w:t>
            </w:r>
            <w:r>
              <w:rPr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sz w:val="24"/>
                <w:szCs w:val="24"/>
              </w:rPr>
              <w:t>Установка информационной вывески, согласование дизайн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-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</w:rPr>
              <w:t>проекта размещения вывески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A672A">
            <w:pPr>
              <w:pStyle w:val="30"/>
              <w:widowControl/>
              <w:ind w:right="0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ндивидуальные предприниматели и юридические лица, желающие установить информационную вывеску</w:t>
            </w:r>
          </w:p>
          <w:p w14:paraId="6C7B9094">
            <w:pPr>
              <w:pStyle w:val="30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31A83EAA">
      <w:pPr>
        <w:numPr>
          <w:numId w:val="0"/>
        </w:numPr>
        <w:tabs>
          <w:tab w:val="left" w:pos="851"/>
        </w:tabs>
        <w:autoSpaceDE w:val="0"/>
        <w:autoSpaceDN w:val="0"/>
        <w:adjustRightInd w:val="0"/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»;</w:t>
      </w:r>
    </w:p>
    <w:p w14:paraId="4E15CD2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567" w:leftChars="0" w:firstLine="0" w:firstLineChars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позицию 27</w:t>
      </w:r>
      <w:r>
        <w:rPr>
          <w:rFonts w:hint="default"/>
          <w:sz w:val="24"/>
          <w:szCs w:val="24"/>
          <w:highlight w:val="none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>изложить в следующей редакции:</w:t>
      </w:r>
    </w:p>
    <w:p w14:paraId="2EB7C62F">
      <w:pPr>
        <w:numPr>
          <w:numId w:val="0"/>
        </w:numPr>
        <w:tabs>
          <w:tab w:val="left" w:pos="851"/>
        </w:tabs>
        <w:autoSpaceDE w:val="0"/>
        <w:autoSpaceDN w:val="0"/>
        <w:adjustRightInd w:val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</w:t>
      </w:r>
    </w:p>
    <w:tbl>
      <w:tblPr>
        <w:tblStyle w:val="6"/>
        <w:tblpPr w:leftFromText="180" w:rightFromText="180" w:vertAnchor="text" w:horzAnchor="page" w:tblpX="1351" w:tblpY="273"/>
        <w:tblOverlap w:val="never"/>
        <w:tblW w:w="9842" w:type="dxa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10"/>
        <w:gridCol w:w="2286"/>
        <w:gridCol w:w="3142"/>
        <w:gridCol w:w="3704"/>
      </w:tblGrid>
      <w:tr w14:paraId="63A3C00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00" w:hRule="atLeast"/>
          <w:tblHeader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5811E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№</w:t>
            </w:r>
          </w:p>
          <w:p w14:paraId="66EB1A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п/п</w:t>
            </w:r>
          </w:p>
        </w:tc>
        <w:tc>
          <w:tcPr>
            <w:tcW w:w="2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3F78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/>
                <w:sz w:val="24"/>
                <w:szCs w:val="24"/>
                <w:highlight w:val="none"/>
              </w:rPr>
              <w:t>Наименование</w:t>
            </w:r>
          </w:p>
          <w:p w14:paraId="364BEE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/>
                <w:sz w:val="24"/>
                <w:szCs w:val="24"/>
                <w:highlight w:val="none"/>
              </w:rPr>
              <w:t>муниципальной услуги</w:t>
            </w:r>
          </w:p>
        </w:tc>
        <w:tc>
          <w:tcPr>
            <w:tcW w:w="31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9F50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Реквизиты и наименование муниципального правового акта, которым утвержден административный регламент предоставления муниципальной услуги</w:t>
            </w:r>
          </w:p>
        </w:tc>
        <w:tc>
          <w:tcPr>
            <w:tcW w:w="3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6EF92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Потребитель муниципальной услуги</w:t>
            </w:r>
          </w:p>
        </w:tc>
      </w:tr>
      <w:tr w14:paraId="4B7A3E52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C129D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DF5CC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61730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C455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</w:tr>
      <w:tr w14:paraId="6E0DB855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1EE6E5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</w:rPr>
              <w:t>2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7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8475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szCs w:val="24"/>
                <w:highlight w:val="none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D2771D">
            <w:pPr>
              <w:pStyle w:val="14"/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Постановление администрации Белоярского района от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/>
              </w:rPr>
              <w:t>24 октября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 20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/>
              </w:rPr>
              <w:t>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 xml:space="preserve"> года №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highlight w:val="none"/>
                <w:lang w:val="ru-RU"/>
              </w:rPr>
              <w:t xml:space="preserve">967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«Об утверждении административного регламента предоставления муниципальной услуги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»</w:t>
            </w:r>
          </w:p>
        </w:tc>
        <w:tc>
          <w:tcPr>
            <w:tcW w:w="3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0AD14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Ф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изические лица, юридические лица и индивидуальные предприниматели.</w:t>
            </w:r>
          </w:p>
          <w:p w14:paraId="75F0DE8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В соответствии со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consultantplus://offline/ref=E48A1AB23F3911FE3B750F89B38AFCFBB6156D0E7E0DC0B0C1D0245857F48F6C413CC4ED273D5F396A3EC9A5D4ABFAF461C8B89049TEL2L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статьей 39.9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Земельного кодекса Российской Федерации земельные участки, находящиеся в государственной или муниципальной собственности, предоставляются в постоянное (бессрочное) пользование исключительно:</w:t>
            </w:r>
          </w:p>
          <w:p w14:paraId="0FA6A25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1) органам государственной власти и органам местного самоуправления;</w:t>
            </w:r>
          </w:p>
          <w:p w14:paraId="3902536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2) государственным и муниципальным учреждениям (бюджетным, казенным, автономным);</w:t>
            </w:r>
          </w:p>
          <w:p w14:paraId="3B4DF52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3) казенным предприятиям;</w:t>
            </w:r>
          </w:p>
          <w:p w14:paraId="5D20B15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4) центрам исторического наследия президентов Российской Федерации, прекративших исполнение своих полномочий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;</w:t>
            </w:r>
          </w:p>
          <w:p w14:paraId="74FB07D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5) Банку России.</w:t>
            </w:r>
          </w:p>
          <w:p w14:paraId="6C223D6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В соответствии со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consultantplus://offline/ref=E48A1AB23F3911FE3B750F89B38AFCFBB6156D0E7E0DC0B0C1D0245857F48F6C413CC4ED263F5F396A3EC9A5D4ABFAF461C8B89049TEL2L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статьей 39.10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Земельного кодекса Российской Федерации земельные участки, находящиеся в государственной или муниципальной собственности, могут быть предоставлены в безвозмездное пользование:</w:t>
            </w:r>
          </w:p>
          <w:p w14:paraId="75F702E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1) лицам, указанным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выше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на срок до одного года;</w:t>
            </w:r>
          </w:p>
          <w:p w14:paraId="1852F88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2) в виде служебных наделов работникам организаций в случаях, указанных в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consultantplus://offline/ref=E48A1AB23F3911FE3B750F89B38AFCFBB6156D0E7E0DC0B0C1D0245857F48F6C413CC4E9243855666F2BD8FDD9A3ECEB62D4A4924BE3T7L0L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пункте 2 статьи 24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Земельного кодекса Российской Федерации, на срок трудового договора, заключенного между работником и организацией;</w:t>
            </w:r>
          </w:p>
          <w:p w14:paraId="76B87936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14:paraId="47D710C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14:paraId="774A8CC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14:paraId="2CD348F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14:paraId="0ED7C2C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5) лицам, с которыми в соответствии с Федеральным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consultantplus://offline/ref=E48A1AB23F3911FE3B750F89B38AFCFBB6166E017B0FC0B0C1D0245857F48F6C533C9CE521344A6C39649EA8D6TAL0L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законом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от 5 апреля 2013 года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№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44-ФЗ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(далее - Федеральный закон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67BB537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5.1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      </w:r>
          </w:p>
          <w:p w14:paraId="08E60A4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6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14:paraId="66A6B37F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7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профессиям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,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 xml:space="preserve"> специальностям,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установленным законом субъекта Российской Федерации, на срок не более чем шесть лет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. Законом субъекта Российской Федерации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      </w:r>
          </w:p>
          <w:p w14:paraId="7E870E2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8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14:paraId="502CA3B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9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14:paraId="29C58CA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1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0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471B934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1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1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) садоводческим или огородническим некоммерческим товариществам на срок не более чем пять лет;</w:t>
            </w:r>
          </w:p>
          <w:p w14:paraId="44A523C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1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2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14:paraId="12CABD0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1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3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2F63B412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1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4)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лицам, с которыми в соответствии с Федеральным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consultantplus://offline/ref=E48A1AB23F3911FE3B750F89B38AFCFBB6146C0E7E0DC0B0C1D0245857F48F6C533C9CE521344A6C39649EA8D6TAL0L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законом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от 29 декабря 2012 года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№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275-ФЗ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О государственном оборонном заказе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, Федеральным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consultantplus://offline/ref=E48A1AB23F3911FE3B750F89B38AFCFBB6166E017B0FC0B0C1D0245857F48F6C533C9CE521344A6C39649EA8D6TAL0L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законом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36DF194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1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5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14:paraId="2F470B64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1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6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37974EC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1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7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) лицу в случае и в порядке, которые предусмотрены Федеральным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consultantplus://offline/ref=E48A1AB23F3911FE3B750F89B38AFCFBB614660F7C00C0B0C1D0245857F48F6C533C9CE521344A6C39649EA8D6TAL0L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законом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от 24 июля 2008 года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№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161-ФЗ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О содействии развитию жилищного строительства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, созданию объектов туристической инфраструктуры и иному развитию территорий»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;</w:t>
            </w:r>
          </w:p>
          <w:p w14:paraId="5BF80D8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1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8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) гражданину в соответствии с Федеральным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consultantplus://offline/ref=E48A1AB23F3911FE3B750F89B38AFCFBB61369017D0EC0B0C1D0245857F48F6C533C9CE521344A6C39649EA8D6TAL0L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законом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от 1 мая 2016 года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№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119-ФЗ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;</w:t>
            </w:r>
          </w:p>
          <w:p w14:paraId="4921329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19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consultantplus://offline/ref=E48A1AB23F3911FE3B750F89B38AFCFBB6166E017C08C0B0C1D0245857F48F6C533C9CE521344A6C39649EA8D6TAL0L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Законом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Российской Федерации от 15 апреля 1993 года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№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4802-1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О статусе столицы Российской Федерации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consultantplus://offline/ref=E48A1AB23F3911FE3B750F89B38AFCFBB6156B09790BC0B0C1D0245857F48F6C533C9CE521344A6C39649EA8D6TAL0L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законом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от 30 декабря 2004 года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№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214-ФЗ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;</w:t>
            </w:r>
          </w:p>
          <w:p w14:paraId="277CAF5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2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0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) акционерному обществу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Почта России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в соответствии с Федеральным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consultantplus://offline/ref=E48A1AB23F3911FE3B750F89B38AFCFBB6146D0A7E01C0B0C1D0245857F48F6C533C9CE521344A6C39649EA8D6TAL0L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законом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Об особенностях реорганизации федерального государственного унитарного предприятия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Почта России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, основах деятельности акционерного общества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Почта России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;</w:t>
            </w:r>
          </w:p>
          <w:p w14:paraId="31E0FF0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2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1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) публично-правовой компании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Единый заказчик в сфере строительства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consultantplus://offline/ref=E48A1AB23F3911FE3B750F89B38AFCFBB1176E0C700FC0B0C1D0245857F48F6C533C9CE521344A6C39649EA8D6TAL0L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законом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О публично-правовой компании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Единый заказчик в сфере строительства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;</w:t>
            </w:r>
          </w:p>
          <w:p w14:paraId="4D47AD0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2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2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) публично-правовой компании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Фонд развития территорий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для осуществления функций и полномочий, предусмотренных Федеральным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consultantplus://offline/ref=E48A1AB23F3911FE3B750F89B38AFCFBB6156F0D7C0AC0B0C1D0245857F48F6C533C9CE521344A6C39649EA8D6TAL0L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законом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от 29 июля 2017 года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№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218-ФЗ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О публично-правовой компании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Фонд развития территорий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и о внесении изменений в отдельные законодательные акты Российской Федерации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consultantplus://offline/ref=E48A1AB23F3911FE3B750F89B38AFCFBB6156B0B7B01C0B0C1D0245857F48F6C533C9CE521344A6C39649EA8D6TAL0L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законом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от 26 октября 2002 года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№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127-ФЗ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О несостоятельности (банкротстве)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исполнительн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ым органом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consultantplus://offline/ref=E48A1AB23F3911FE3B750F89B38AFCFBB6136809710DC0B0C1D0245857F48F6C533C9CE521344A6C39649EA8D6TAL0L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кодексом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Российской Федерации;</w:t>
            </w:r>
          </w:p>
          <w:p w14:paraId="5D1C60D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eastAsia="en-US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2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3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) публично-правовой компании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Роскадастр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consultantplus://offline/ref=E48A1AB23F3911FE3B750F89B38AFCFBB6136B0E7801C0B0C1D0245857F48F6C533C9CE521344A6C39649EA8D6TAL0L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законом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О публично-правовой компании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Роскадастр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;</w:t>
            </w:r>
          </w:p>
          <w:p w14:paraId="385B570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2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4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) участнику Военного инновационного технополиса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Эра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Министерства обороны Российской Федерации в соответствии с Федеральным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instrText xml:space="preserve">HYPERLINK consultantplus://offline/ref=E48A1AB23F3911FE3B750F89B38AFCFBB6126E0E7000C0B0C1D0245857F48F6C533C9CE521344A6C39649EA8D6TAL0L </w:instrTex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законом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О Военном инновационном технополисе 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«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Эра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Министерства обороны Российской Федерации и о внесении изменений в отдельные законодательные акты Российской Федерации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»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 xml:space="preserve">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-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 xml:space="preserve"> </w:t>
            </w:r>
            <w:r>
              <w:rPr>
                <w:rFonts w:hint="default"/>
                <w:sz w:val="24"/>
                <w:szCs w:val="24"/>
                <w:highlight w:val="none"/>
                <w:lang w:eastAsia="en-US"/>
              </w:rPr>
              <w:t>правовому регулированию в области обороны</w:t>
            </w:r>
            <w:r>
              <w:rPr>
                <w:rFonts w:hint="default"/>
                <w:sz w:val="24"/>
                <w:szCs w:val="24"/>
                <w:highlight w:val="none"/>
                <w:lang w:val="ru-RU" w:eastAsia="en-US"/>
              </w:rPr>
              <w:t>.</w:t>
            </w:r>
          </w:p>
        </w:tc>
      </w:tr>
    </w:tbl>
    <w:p w14:paraId="6B7D0F3F">
      <w:pPr>
        <w:numPr>
          <w:numId w:val="0"/>
        </w:numPr>
        <w:tabs>
          <w:tab w:val="left" w:pos="851"/>
        </w:tabs>
        <w:autoSpaceDE w:val="0"/>
        <w:autoSpaceDN w:val="0"/>
        <w:adjustRightInd w:val="0"/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»;</w:t>
      </w:r>
    </w:p>
    <w:p w14:paraId="74AE809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567" w:leftChars="0" w:firstLine="0" w:firstLineChars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позицию 34</w:t>
      </w:r>
      <w:r>
        <w:rPr>
          <w:rFonts w:hint="default"/>
          <w:sz w:val="24"/>
          <w:szCs w:val="24"/>
          <w:highlight w:val="none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>изложить в следующей редакции:</w:t>
      </w:r>
    </w:p>
    <w:p w14:paraId="0BBA07CF">
      <w:pPr>
        <w:numPr>
          <w:numId w:val="0"/>
        </w:numPr>
        <w:tabs>
          <w:tab w:val="left" w:pos="851"/>
        </w:tabs>
        <w:autoSpaceDE w:val="0"/>
        <w:autoSpaceDN w:val="0"/>
        <w:adjustRightInd w:val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</w:t>
      </w:r>
    </w:p>
    <w:tbl>
      <w:tblPr>
        <w:tblStyle w:val="6"/>
        <w:tblpPr w:leftFromText="180" w:rightFromText="180" w:vertAnchor="text" w:horzAnchor="page" w:tblpX="1351" w:tblpY="273"/>
        <w:tblOverlap w:val="never"/>
        <w:tblW w:w="9819" w:type="dxa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10"/>
        <w:gridCol w:w="2286"/>
        <w:gridCol w:w="3166"/>
        <w:gridCol w:w="3657"/>
      </w:tblGrid>
      <w:tr w14:paraId="707CEEAE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00" w:hRule="atLeast"/>
          <w:tblHeader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D1FF0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№</w:t>
            </w:r>
          </w:p>
          <w:p w14:paraId="1D0068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п/п</w:t>
            </w:r>
          </w:p>
        </w:tc>
        <w:tc>
          <w:tcPr>
            <w:tcW w:w="2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8E3B3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/>
                <w:sz w:val="24"/>
                <w:szCs w:val="24"/>
                <w:highlight w:val="none"/>
              </w:rPr>
              <w:t>Наименование</w:t>
            </w:r>
          </w:p>
          <w:p w14:paraId="067641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/>
                <w:sz w:val="24"/>
                <w:szCs w:val="24"/>
                <w:highlight w:val="none"/>
              </w:rPr>
              <w:t>муниципальной услуги</w:t>
            </w:r>
          </w:p>
        </w:tc>
        <w:tc>
          <w:tcPr>
            <w:tcW w:w="31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7A9E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Реквизиты и наименование муниципального правового акта, которым утвержден административный регламент предоставления муниципальной услуги</w:t>
            </w:r>
          </w:p>
        </w:tc>
        <w:tc>
          <w:tcPr>
            <w:tcW w:w="3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491A6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Потребитель муниципальной услуги</w:t>
            </w:r>
          </w:p>
        </w:tc>
      </w:tr>
      <w:tr w14:paraId="3F4F343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59FC8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1D6BF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7568DF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3DD5D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</w:tr>
      <w:tr w14:paraId="01358AFF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3F278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34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F334F0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szCs w:val="24"/>
                <w:highlight w:val="none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D4CBFF">
            <w:pPr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highlight w:val="none"/>
                <w:lang w:val="ru-RU" w:eastAsia="ru-RU" w:bidi="ar-SA"/>
              </w:rPr>
            </w:pPr>
            <w:r>
              <w:rPr>
                <w:bCs/>
                <w:sz w:val="24"/>
                <w:szCs w:val="24"/>
                <w:highlight w:val="none"/>
              </w:rPr>
              <w:t xml:space="preserve">Постановление администрации Белоярского района от 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11 января</w:t>
            </w:r>
            <w:r>
              <w:rPr>
                <w:bCs/>
                <w:sz w:val="24"/>
                <w:szCs w:val="24"/>
                <w:highlight w:val="none"/>
              </w:rPr>
              <w:t xml:space="preserve"> 20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>23</w:t>
            </w:r>
            <w:r>
              <w:rPr>
                <w:bCs/>
                <w:sz w:val="24"/>
                <w:szCs w:val="24"/>
                <w:highlight w:val="none"/>
              </w:rPr>
              <w:t xml:space="preserve"> года № </w:t>
            </w:r>
            <w:r>
              <w:rPr>
                <w:rFonts w:hint="default"/>
                <w:bCs/>
                <w:sz w:val="24"/>
                <w:szCs w:val="24"/>
                <w:highlight w:val="none"/>
                <w:lang w:val="ru-RU"/>
              </w:rPr>
              <w:t xml:space="preserve">6 </w:t>
            </w:r>
            <w:r>
              <w:rPr>
                <w:bCs/>
                <w:sz w:val="24"/>
                <w:szCs w:val="24"/>
                <w:highlight w:val="none"/>
              </w:rPr>
              <w:t>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sz w:val="24"/>
                <w:szCs w:val="24"/>
                <w:highlight w:val="none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>
              <w:rPr>
                <w:bCs/>
                <w:sz w:val="24"/>
                <w:szCs w:val="24"/>
                <w:highlight w:val="none"/>
              </w:rPr>
              <w:t>»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27A54C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Граждане Российской Федерации, желающие бесплатно приобрести земельный участок для ИЖС, прожившие на территории Ханты-Мансийского автономного округа - Югры не менее пяти лет, не являющиеся собственниками земельных участков, предназначенных для ИЖС, или членами семьи собственника земельных участков, предназначенных для ИЖС, относящиеся к следующим категориям:</w:t>
            </w:r>
          </w:p>
          <w:p w14:paraId="4E8B9365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1) граждане, состоящие на учете в качестве нуждающихся в жилых помещениях, предоставляемых по договорам социального найма;</w:t>
            </w:r>
          </w:p>
          <w:p w14:paraId="6E35C166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2) инвалиды, семьи, имеющие детей-инвалидов;</w:t>
            </w:r>
          </w:p>
          <w:p w14:paraId="0E7E2F61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3) граждане, имеющие трех и более детей;</w:t>
            </w:r>
          </w:p>
          <w:p w14:paraId="22C36D1B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4) лица, усыновившие (удочерившие) одного и более детей-сирот и детей, оставшихся без попечения родителей;</w:t>
            </w:r>
          </w:p>
          <w:p w14:paraId="77BB6197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5) ветераны Великой Отечественной войны, ветераны боевых действий, ветераны военной службы, ветераны государственной службы и ветераны труда, 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Федеральным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instrText xml:space="preserve">HYPERLINK consultantplus://offline/ref=452F9753745EB063C3C5DF74E0AB72EBBFA97C8B3F3F9C15600D160F8B96A9D7652335CB5EAA44FC8FC87FC76AW3h7L </w:instrTex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законом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от 12 января 1995 года № 5-ФЗ «О ветеранах»;</w:t>
            </w:r>
          </w:p>
          <w:p w14:paraId="26A48EFA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6) лица, на которых распространяются меры социальной поддержки, установленные Федеральными законами от 10 января 2002 года № «О социальных гарантиях гражданам, подвергшимся радиационному воздействию вследствие ядерных испытаний на Семипалатинском полигоне», от 26 ноября 1998 года №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Теча»,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instrText xml:space="preserve">HYPERLINK consultantplus://offline/ref=452F9753745EB063C3C5DF74E0AB72EBBFAE7C8B3C3D9C15600D160F8B96A9D7652335CB5EAA44FC8FC87FC76AW3h7L </w:instrTex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Законом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Российской Федерации от 15 мая 1991 года № 1244-1 «О социальной защите граждан, подвергшихся воздействию радиации вследствие катастрофы на Чернобыльской АЭС»;</w:t>
            </w:r>
          </w:p>
          <w:p w14:paraId="50DA46D4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7)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время, начиная с 3 сентября 1945 года (независимо от воинского звания и причин смерти, кроме случаев противоправных действий),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      </w:r>
          </w:p>
          <w:p w14:paraId="06FC309D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8) лица, имеющие звание «Почетный гражданин Ханты-Мансийского автономного округа - Югры»;</w:t>
            </w:r>
          </w:p>
          <w:p w14:paraId="65EB787A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9) лица не старше 35 лет, постоянно проживающие в сельской местности, окончившие профессиональные образовательные организации и образовательные организации высшего образования, работающие в сфере сельскохозяйственного производства, в бюджетной сфере в сельских населенных пунктах;</w:t>
            </w:r>
          </w:p>
          <w:p w14:paraId="160CDB19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10) молодые семьи, имеющие детей;</w:t>
            </w:r>
          </w:p>
          <w:p w14:paraId="5E0F73FD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11) лица, на которых распространяются меры социальной поддержки реабилитированных лиц и лиц, признанных пострадавшими от политических репрессий, в соответствии с 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instrText xml:space="preserve">HYPERLINK consultantplus://offline/ref=452F9753745EB063C3C5C179F6C725E4BDA624863B32974639581058D4C6AF8237636B920FE60FF08DDE63C66A2A58C5B9W9hCL </w:instrTex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Законом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 xml:space="preserve"> Ханты-Мансийского автономного округа - Югры от 24 декабря 2007 года № 197-оз «О государственной социальной помощи и дополнительных мерах социальной помощи населению Ханты-Мансийского автономного округа - Югры»;</w:t>
            </w:r>
          </w:p>
          <w:p w14:paraId="725324BF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12)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 w14:paraId="5A4F10EB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13)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      </w:r>
          </w:p>
          <w:p w14:paraId="4180D41D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Граждане, относящиеся к категориям, указанным выше, для ИЖС без торгов однократно бесплатно имеют право приобрести земельные участки, если они:</w:t>
            </w:r>
          </w:p>
          <w:p w14:paraId="5C8EF1D8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1)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      </w:r>
          </w:p>
          <w:p w14:paraId="16B79806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2)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нормы;</w:t>
            </w:r>
          </w:p>
          <w:p w14:paraId="24183173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3) проживают в помещении, не отвечающем требованиям, установленным для жилых помещений;</w:t>
            </w:r>
          </w:p>
          <w:p w14:paraId="32543AE1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4) 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      </w:r>
          </w:p>
        </w:tc>
      </w:tr>
    </w:tbl>
    <w:p w14:paraId="3F92EE53">
      <w:pPr>
        <w:numPr>
          <w:numId w:val="0"/>
        </w:numPr>
        <w:tabs>
          <w:tab w:val="left" w:pos="851"/>
        </w:tabs>
        <w:autoSpaceDE w:val="0"/>
        <w:autoSpaceDN w:val="0"/>
        <w:adjustRightInd w:val="0"/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»;</w:t>
      </w:r>
    </w:p>
    <w:p w14:paraId="5D9BC28F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567" w:leftChars="0" w:firstLine="0" w:firstLineChars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позицию 38</w:t>
      </w:r>
      <w:r>
        <w:rPr>
          <w:rFonts w:hint="default"/>
          <w:sz w:val="24"/>
          <w:szCs w:val="24"/>
          <w:highlight w:val="none"/>
          <w:lang w:val="ru-RU"/>
        </w:rPr>
        <w:t xml:space="preserve"> </w:t>
      </w:r>
      <w:r>
        <w:rPr>
          <w:rFonts w:hint="default"/>
          <w:sz w:val="24"/>
          <w:szCs w:val="24"/>
          <w:lang w:val="ru-RU"/>
        </w:rPr>
        <w:t>изложить в следующей редакции:</w:t>
      </w:r>
    </w:p>
    <w:p w14:paraId="61036E9D">
      <w:pPr>
        <w:numPr>
          <w:numId w:val="0"/>
        </w:numPr>
        <w:tabs>
          <w:tab w:val="left" w:pos="851"/>
        </w:tabs>
        <w:autoSpaceDE w:val="0"/>
        <w:autoSpaceDN w:val="0"/>
        <w:adjustRightInd w:val="0"/>
        <w:jc w:val="lef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«</w:t>
      </w:r>
    </w:p>
    <w:tbl>
      <w:tblPr>
        <w:tblStyle w:val="6"/>
        <w:tblpPr w:leftFromText="180" w:rightFromText="180" w:vertAnchor="text" w:horzAnchor="page" w:tblpX="1351" w:tblpY="273"/>
        <w:tblOverlap w:val="never"/>
        <w:tblW w:w="9785" w:type="dxa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10"/>
        <w:gridCol w:w="2286"/>
        <w:gridCol w:w="3154"/>
        <w:gridCol w:w="3635"/>
      </w:tblGrid>
      <w:tr w14:paraId="1FE05B23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00" w:hRule="atLeast"/>
          <w:tblHeader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E1A2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№</w:t>
            </w:r>
          </w:p>
          <w:p w14:paraId="2F18E8F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п/п</w:t>
            </w:r>
          </w:p>
        </w:tc>
        <w:tc>
          <w:tcPr>
            <w:tcW w:w="2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921F8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/>
                <w:sz w:val="24"/>
                <w:szCs w:val="24"/>
                <w:highlight w:val="none"/>
              </w:rPr>
              <w:t>Наименование</w:t>
            </w:r>
          </w:p>
          <w:p w14:paraId="084C0A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/>
                <w:sz w:val="24"/>
                <w:szCs w:val="24"/>
                <w:highlight w:val="none"/>
              </w:rPr>
              <w:t>муниципальной услуги</w:t>
            </w:r>
          </w:p>
        </w:tc>
        <w:tc>
          <w:tcPr>
            <w:tcW w:w="3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1206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Реквизиты и наименование муниципального правового акта, которым утвержден административный регламент предоставления муниципальной услуги</w:t>
            </w:r>
          </w:p>
        </w:tc>
        <w:tc>
          <w:tcPr>
            <w:tcW w:w="3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17793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Потребитель муниципальной услуги</w:t>
            </w:r>
          </w:p>
        </w:tc>
      </w:tr>
      <w:tr w14:paraId="15C2CA6C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0E1F2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C9135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  <w:highlight w:val="none"/>
              </w:rPr>
            </w:pPr>
            <w:r>
              <w:rPr>
                <w:b w:val="0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D2F7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F5B4D4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4</w:t>
            </w:r>
          </w:p>
        </w:tc>
      </w:tr>
      <w:tr w14:paraId="3183C1A0"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DD604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sz w:val="24"/>
                <w:szCs w:val="24"/>
                <w:highlight w:val="none"/>
              </w:rPr>
              <w:t>3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8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457275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szCs w:val="24"/>
                <w:highlight w:val="none"/>
              </w:rPr>
              <w:t>Предоставление жилого помещения по договору социального найма в городском поселении Белоярский</w:t>
            </w:r>
          </w:p>
          <w:p w14:paraId="63E2E85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  <w:highlight w:val="none"/>
              </w:rPr>
            </w:pP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5BF185">
            <w:pPr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>Постановление администрации Белоярского района от 30 июня 2011 года № 972 «Об утверждении административного регламента предоставления муниципальной услуги «</w:t>
            </w:r>
            <w:r>
              <w:rPr>
                <w:rFonts w:hint="default"/>
                <w:sz w:val="24"/>
                <w:szCs w:val="24"/>
                <w:highlight w:val="none"/>
              </w:rPr>
              <w:t>Предоставление жилого помещения по договору социального найма в городском поселении Белоярский</w:t>
            </w:r>
            <w:r>
              <w:rPr>
                <w:sz w:val="24"/>
                <w:szCs w:val="24"/>
                <w:highlight w:val="none"/>
              </w:rPr>
              <w:t>»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F181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Г</w:t>
            </w:r>
            <w:r>
              <w:rPr>
                <w:rFonts w:hint="default"/>
                <w:sz w:val="24"/>
                <w:szCs w:val="24"/>
                <w:highlight w:val="none"/>
              </w:rPr>
              <w:t>раждане (физические лица)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состоящие на учете в качестве нуждающихся в жилых помещениях, проживающие на территории городского поселения Белоярский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.</w:t>
            </w:r>
          </w:p>
          <w:p w14:paraId="014FF83B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szCs w:val="24"/>
                <w:highlight w:val="none"/>
              </w:rPr>
              <w:t>Вне очереди жилые помещения по договорам социального найма предоставляются:</w:t>
            </w:r>
          </w:p>
          <w:p w14:paraId="4A79E109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/>
                <w:sz w:val="24"/>
                <w:szCs w:val="24"/>
                <w:highlight w:val="none"/>
              </w:rPr>
            </w:pPr>
            <w:r>
              <w:rPr>
                <w:rFonts w:hint="default"/>
                <w:sz w:val="24"/>
                <w:szCs w:val="24"/>
                <w:highlight w:val="none"/>
              </w:rPr>
              <w:t>-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Указанным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</w:t>
            </w:r>
          </w:p>
          <w:p w14:paraId="54CD46D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hint="default" w:eastAsia="Calibri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/>
                <w:sz w:val="24"/>
                <w:szCs w:val="24"/>
                <w:highlight w:val="none"/>
              </w:rPr>
              <w:t xml:space="preserve">- гражданам, страдающим тяжелыми формами хронических заболеваний, указанных в предусмотренном </w:t>
            </w:r>
            <w:r>
              <w:rPr>
                <w:rFonts w:hint="default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/>
                <w:sz w:val="24"/>
                <w:szCs w:val="24"/>
                <w:highlight w:val="none"/>
              </w:rPr>
              <w:instrText xml:space="preserve">HYPERLINK consultantplus://offline/ref=9F02C70D05431F7AF2021995BCCD9D2DD3AA3E2B577BC4E340331080E268A56F73A09CBB1955ADD4CDE7E80F519BEEC5721FCF1C59E96ABENFn7L </w:instrText>
            </w:r>
            <w:r>
              <w:rPr>
                <w:rFonts w:hint="default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/>
                <w:sz w:val="24"/>
                <w:szCs w:val="24"/>
                <w:highlight w:val="none"/>
              </w:rPr>
              <w:t>пунктом 4 части 1 статьи 51</w:t>
            </w:r>
            <w:r>
              <w:rPr>
                <w:rFonts w:hint="default"/>
                <w:sz w:val="24"/>
                <w:szCs w:val="24"/>
                <w:highlight w:val="none"/>
              </w:rPr>
              <w:fldChar w:fldCharType="end"/>
            </w:r>
            <w:r>
              <w:rPr>
                <w:rFonts w:hint="default"/>
                <w:sz w:val="24"/>
                <w:szCs w:val="24"/>
                <w:highlight w:val="none"/>
              </w:rPr>
              <w:t xml:space="preserve"> Жилищного кодекса Российской Федерации</w:t>
            </w:r>
            <w:r>
              <w:rPr>
                <w:rFonts w:hint="default"/>
                <w:sz w:val="24"/>
                <w:szCs w:val="24"/>
                <w:highlight w:val="none"/>
                <w:lang w:val="ru-RU"/>
              </w:rPr>
              <w:t>.</w:t>
            </w:r>
          </w:p>
        </w:tc>
      </w:tr>
    </w:tbl>
    <w:p w14:paraId="465DA6FC">
      <w:pPr>
        <w:numPr>
          <w:numId w:val="0"/>
        </w:numPr>
        <w:tabs>
          <w:tab w:val="left" w:pos="851"/>
        </w:tabs>
        <w:autoSpaceDE w:val="0"/>
        <w:autoSpaceDN w:val="0"/>
        <w:adjustRightInd w:val="0"/>
        <w:jc w:val="right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».</w:t>
      </w:r>
    </w:p>
    <w:p w14:paraId="4BA27AA9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14:paraId="0742F2A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23F17003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</w:t>
      </w:r>
      <w:r>
        <w:rPr>
          <w:sz w:val="24"/>
          <w:szCs w:val="24"/>
        </w:rPr>
        <w:t xml:space="preserve">онтроль за выполнением постановления возложить на заместителя главы Белоярского района, председателя Комитета по финансам и налоговой политике администрации Белоярского района </w:t>
      </w:r>
      <w:r>
        <w:rPr>
          <w:sz w:val="24"/>
          <w:highlight w:val="none"/>
        </w:rPr>
        <w:t>Плохих И.А.</w:t>
      </w:r>
    </w:p>
    <w:p w14:paraId="7C221085">
      <w:pPr>
        <w:pStyle w:val="10"/>
        <w:tabs>
          <w:tab w:val="left" w:pos="360"/>
        </w:tabs>
        <w:ind w:firstLine="720"/>
        <w:jc w:val="both"/>
      </w:pPr>
    </w:p>
    <w:p w14:paraId="57F84F18">
      <w:pPr>
        <w:pStyle w:val="10"/>
        <w:jc w:val="both"/>
      </w:pPr>
    </w:p>
    <w:p w14:paraId="02981969">
      <w:pPr>
        <w:pStyle w:val="10"/>
        <w:jc w:val="both"/>
      </w:pPr>
    </w:p>
    <w:p w14:paraId="03D39603">
      <w:pPr>
        <w:pStyle w:val="10"/>
        <w:jc w:val="both"/>
      </w:pPr>
    </w:p>
    <w:p w14:paraId="78E652F6">
      <w:pPr>
        <w:pStyle w:val="10"/>
        <w:jc w:val="both"/>
      </w:pPr>
    </w:p>
    <w:p w14:paraId="7F230C15">
      <w:pPr>
        <w:pStyle w:val="10"/>
        <w:jc w:val="both"/>
      </w:pPr>
    </w:p>
    <w:p w14:paraId="08BC0E2B">
      <w:pPr>
        <w:pStyle w:val="10"/>
        <w:jc w:val="both"/>
      </w:pPr>
    </w:p>
    <w:p w14:paraId="37783730">
      <w:pPr>
        <w:pStyle w:val="10"/>
        <w:jc w:val="both"/>
      </w:pPr>
    </w:p>
    <w:p w14:paraId="31AF454A">
      <w:pPr>
        <w:pStyle w:val="10"/>
        <w:jc w:val="both"/>
      </w:pPr>
    </w:p>
    <w:p w14:paraId="2662E6BD">
      <w:pPr>
        <w:pStyle w:val="10"/>
        <w:jc w:val="both"/>
      </w:pPr>
      <w:r>
        <w:t>Глава Белоярского района                                                                                      С.П.Маненков</w:t>
      </w:r>
    </w:p>
    <w:p w14:paraId="6D263DF4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D006E8D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636842B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DF0419E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6ECEE20C">
      <w:pPr>
        <w:numPr>
          <w:ilvl w:val="0"/>
          <w:numId w:val="0"/>
        </w:numPr>
        <w:tabs>
          <w:tab w:val="left" w:pos="851"/>
        </w:tabs>
        <w:autoSpaceDE w:val="0"/>
        <w:autoSpaceDN w:val="0"/>
        <w:adjustRightInd w:val="0"/>
        <w:jc w:val="both"/>
        <w:rPr>
          <w:rFonts w:hint="default"/>
          <w:sz w:val="24"/>
          <w:szCs w:val="24"/>
          <w:lang w:val="ru-RU"/>
        </w:rPr>
      </w:pPr>
    </w:p>
    <w:p w14:paraId="67BDE14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743046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0C7BC3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6AA8EFD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62F888C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8EE173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ADFE200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6BAF7F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2C00ACC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9CD7A6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5300936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53EAB1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7CC240B8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813A8A1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D2565F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6CF0F472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FE05E4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3A4ADC90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C50A695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F836E87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51FE60C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399DCAC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DCCD5F9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276923FA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5374854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6FBF100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0B4CF5A2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254786E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CD74AE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3067CBEF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4894D043">
      <w:pPr>
        <w:widowControl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14:paraId="16A06D30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14:paraId="3EED1079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14:paraId="0EFBE7A2">
      <w:pPr>
        <w:rPr>
          <w:sz w:val="24"/>
          <w:szCs w:val="24"/>
        </w:rPr>
      </w:pPr>
    </w:p>
    <w:p w14:paraId="20E3974B"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Заместитель главы Белоярского района, </w:t>
      </w:r>
    </w:p>
    <w:p w14:paraId="0C9249B6"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председатель Комитета по финансам</w:t>
      </w:r>
    </w:p>
    <w:p w14:paraId="056EC3D2">
      <w:pPr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и налоговой политике администрации</w:t>
      </w:r>
    </w:p>
    <w:p w14:paraId="7D380457">
      <w:pPr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Белоярского района                                   </w:t>
      </w:r>
      <w:r>
        <w:rPr>
          <w:sz w:val="24"/>
          <w:szCs w:val="24"/>
        </w:rPr>
        <w:t>________________________________</w:t>
      </w:r>
      <w:r>
        <w:rPr>
          <w:rFonts w:hint="default"/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>И.А.Плохих</w:t>
      </w:r>
    </w:p>
    <w:p w14:paraId="62A26EB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(подпись)</w:t>
      </w:r>
    </w:p>
    <w:p w14:paraId="22E6F5E7">
      <w:pPr>
        <w:rPr>
          <w:sz w:val="24"/>
          <w:szCs w:val="24"/>
        </w:rPr>
      </w:pPr>
    </w:p>
    <w:p w14:paraId="1325E4BB"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 экономики,</w:t>
      </w:r>
    </w:p>
    <w:p w14:paraId="2EF79877">
      <w:pPr>
        <w:rPr>
          <w:sz w:val="24"/>
          <w:szCs w:val="24"/>
        </w:rPr>
      </w:pPr>
      <w:r>
        <w:rPr>
          <w:sz w:val="24"/>
          <w:szCs w:val="24"/>
        </w:rPr>
        <w:t>реформ и программ администрации</w:t>
      </w:r>
    </w:p>
    <w:p w14:paraId="79DE9A73">
      <w:pPr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  <w:r>
        <w:rPr>
          <w:rFonts w:hint="default"/>
          <w:sz w:val="24"/>
          <w:szCs w:val="24"/>
          <w:lang w:val="ru-RU"/>
        </w:rPr>
        <w:t xml:space="preserve">                                  </w:t>
      </w:r>
      <w:r>
        <w:rPr>
          <w:sz w:val="24"/>
          <w:szCs w:val="24"/>
        </w:rPr>
        <w:t>______________________________</w:t>
      </w:r>
      <w:r>
        <w:rPr>
          <w:rFonts w:hint="default"/>
          <w:sz w:val="24"/>
          <w:szCs w:val="24"/>
          <w:lang w:val="ru-RU"/>
        </w:rPr>
        <w:t xml:space="preserve">___ </w:t>
      </w:r>
      <w:r>
        <w:rPr>
          <w:sz w:val="24"/>
          <w:szCs w:val="24"/>
        </w:rPr>
        <w:t>Л.М.Бурматова</w:t>
      </w:r>
    </w:p>
    <w:p w14:paraId="075A0EF3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(подпись)</w:t>
      </w:r>
    </w:p>
    <w:p w14:paraId="3D177EF0">
      <w:pPr>
        <w:rPr>
          <w:sz w:val="24"/>
          <w:szCs w:val="24"/>
        </w:rPr>
      </w:pPr>
    </w:p>
    <w:p w14:paraId="097AD7A0">
      <w:pPr>
        <w:rPr>
          <w:sz w:val="24"/>
          <w:szCs w:val="24"/>
        </w:rPr>
      </w:pPr>
      <w:r>
        <w:rPr>
          <w:sz w:val="24"/>
          <w:szCs w:val="24"/>
        </w:rPr>
        <w:t>Исполнитель: ведущий специалист</w:t>
      </w:r>
    </w:p>
    <w:p w14:paraId="3BA8B5EA">
      <w:pPr>
        <w:rPr>
          <w:sz w:val="24"/>
          <w:szCs w:val="24"/>
        </w:rPr>
      </w:pPr>
      <w:r>
        <w:rPr>
          <w:sz w:val="24"/>
          <w:szCs w:val="24"/>
        </w:rPr>
        <w:t>отдела экономики и прогнозирования</w:t>
      </w:r>
    </w:p>
    <w:p w14:paraId="00394704">
      <w:pPr>
        <w:rPr>
          <w:sz w:val="24"/>
          <w:szCs w:val="24"/>
        </w:rPr>
      </w:pPr>
      <w:r>
        <w:rPr>
          <w:sz w:val="24"/>
          <w:szCs w:val="24"/>
        </w:rPr>
        <w:t>управления экономики, реформ и программ</w:t>
      </w:r>
    </w:p>
    <w:p w14:paraId="5D7DDF5D">
      <w:pPr>
        <w:rPr>
          <w:sz w:val="24"/>
          <w:szCs w:val="24"/>
        </w:rPr>
      </w:pPr>
      <w:r>
        <w:rPr>
          <w:sz w:val="24"/>
          <w:szCs w:val="24"/>
        </w:rPr>
        <w:t>администрации Белоярского района</w:t>
      </w:r>
      <w:r>
        <w:rPr>
          <w:rFonts w:hint="default"/>
          <w:sz w:val="24"/>
          <w:szCs w:val="24"/>
          <w:lang w:val="ru-RU"/>
        </w:rPr>
        <w:t xml:space="preserve">       </w:t>
      </w:r>
      <w:r>
        <w:rPr>
          <w:sz w:val="24"/>
          <w:szCs w:val="24"/>
        </w:rPr>
        <w:t xml:space="preserve">_________________________________ </w:t>
      </w:r>
      <w:r>
        <w:rPr>
          <w:rFonts w:hint="default"/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Ю.В.Ягодка</w:t>
      </w:r>
    </w:p>
    <w:p w14:paraId="5DFDC8EA">
      <w:pPr>
        <w:tabs>
          <w:tab w:val="left" w:pos="577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>(подпись)</w:t>
      </w:r>
    </w:p>
    <w:p w14:paraId="76B97693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530DF06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0BB9D606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2533E44D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17DDE583">
      <w:pPr>
        <w:jc w:val="center"/>
        <w:rPr>
          <w:b/>
        </w:rPr>
      </w:pPr>
    </w:p>
    <w:sectPr>
      <w:pgSz w:w="11906" w:h="16838"/>
      <w:pgMar w:top="850" w:right="851" w:bottom="709" w:left="13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8A7F54"/>
    <w:multiLevelType w:val="singleLevel"/>
    <w:tmpl w:val="AE8A7F54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2938776E"/>
    <w:multiLevelType w:val="multilevel"/>
    <w:tmpl w:val="2938776E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95A"/>
    <w:rsid w:val="000103C7"/>
    <w:rsid w:val="000168E8"/>
    <w:rsid w:val="00027ABB"/>
    <w:rsid w:val="000306B0"/>
    <w:rsid w:val="00036C54"/>
    <w:rsid w:val="00037599"/>
    <w:rsid w:val="00054566"/>
    <w:rsid w:val="000575D2"/>
    <w:rsid w:val="000605C3"/>
    <w:rsid w:val="00062AC5"/>
    <w:rsid w:val="000665C8"/>
    <w:rsid w:val="0009706C"/>
    <w:rsid w:val="000B462B"/>
    <w:rsid w:val="000C2B5C"/>
    <w:rsid w:val="000C3D14"/>
    <w:rsid w:val="000C4497"/>
    <w:rsid w:val="000C6646"/>
    <w:rsid w:val="000C7768"/>
    <w:rsid w:val="000D001D"/>
    <w:rsid w:val="000D2D3B"/>
    <w:rsid w:val="000E6FFE"/>
    <w:rsid w:val="000F2D36"/>
    <w:rsid w:val="000F7744"/>
    <w:rsid w:val="000F7B48"/>
    <w:rsid w:val="00101A9E"/>
    <w:rsid w:val="00107FD9"/>
    <w:rsid w:val="0011298C"/>
    <w:rsid w:val="00124981"/>
    <w:rsid w:val="001278E8"/>
    <w:rsid w:val="00133277"/>
    <w:rsid w:val="001378BF"/>
    <w:rsid w:val="00143110"/>
    <w:rsid w:val="00175573"/>
    <w:rsid w:val="001953C9"/>
    <w:rsid w:val="00197FC8"/>
    <w:rsid w:val="001A127B"/>
    <w:rsid w:val="001C214E"/>
    <w:rsid w:val="00212D05"/>
    <w:rsid w:val="00243606"/>
    <w:rsid w:val="002456D3"/>
    <w:rsid w:val="002577F6"/>
    <w:rsid w:val="002626C4"/>
    <w:rsid w:val="0026503A"/>
    <w:rsid w:val="0027299F"/>
    <w:rsid w:val="002733D7"/>
    <w:rsid w:val="002928C8"/>
    <w:rsid w:val="002A0CD3"/>
    <w:rsid w:val="002B2B10"/>
    <w:rsid w:val="002B4A0E"/>
    <w:rsid w:val="002C2978"/>
    <w:rsid w:val="002C2C81"/>
    <w:rsid w:val="002E2F89"/>
    <w:rsid w:val="002E390C"/>
    <w:rsid w:val="00302EE3"/>
    <w:rsid w:val="00304A9B"/>
    <w:rsid w:val="00310C34"/>
    <w:rsid w:val="003150BD"/>
    <w:rsid w:val="00326457"/>
    <w:rsid w:val="003400E5"/>
    <w:rsid w:val="00340373"/>
    <w:rsid w:val="00360E91"/>
    <w:rsid w:val="00375F40"/>
    <w:rsid w:val="003777C3"/>
    <w:rsid w:val="00394B23"/>
    <w:rsid w:val="003A21BC"/>
    <w:rsid w:val="003A370A"/>
    <w:rsid w:val="003A45E4"/>
    <w:rsid w:val="003A6495"/>
    <w:rsid w:val="003B3923"/>
    <w:rsid w:val="003B7C60"/>
    <w:rsid w:val="003C5730"/>
    <w:rsid w:val="003D4E40"/>
    <w:rsid w:val="003E73B0"/>
    <w:rsid w:val="003F4E16"/>
    <w:rsid w:val="00400123"/>
    <w:rsid w:val="00404C55"/>
    <w:rsid w:val="00411D66"/>
    <w:rsid w:val="004125A3"/>
    <w:rsid w:val="004133BC"/>
    <w:rsid w:val="00415096"/>
    <w:rsid w:val="004159A9"/>
    <w:rsid w:val="00424695"/>
    <w:rsid w:val="00427380"/>
    <w:rsid w:val="00447E26"/>
    <w:rsid w:val="004508A0"/>
    <w:rsid w:val="00467DA0"/>
    <w:rsid w:val="00486394"/>
    <w:rsid w:val="00490316"/>
    <w:rsid w:val="00495CB4"/>
    <w:rsid w:val="004B5D57"/>
    <w:rsid w:val="004B7062"/>
    <w:rsid w:val="004C7EE1"/>
    <w:rsid w:val="004D18B7"/>
    <w:rsid w:val="004D5DCA"/>
    <w:rsid w:val="004F4B92"/>
    <w:rsid w:val="004F52D4"/>
    <w:rsid w:val="00524D79"/>
    <w:rsid w:val="00541F26"/>
    <w:rsid w:val="00542789"/>
    <w:rsid w:val="00544368"/>
    <w:rsid w:val="00574799"/>
    <w:rsid w:val="00596052"/>
    <w:rsid w:val="005A2009"/>
    <w:rsid w:val="005D26B7"/>
    <w:rsid w:val="005E384F"/>
    <w:rsid w:val="005F469E"/>
    <w:rsid w:val="00602A11"/>
    <w:rsid w:val="00610408"/>
    <w:rsid w:val="00613169"/>
    <w:rsid w:val="006356B2"/>
    <w:rsid w:val="006421BD"/>
    <w:rsid w:val="00645E80"/>
    <w:rsid w:val="00646FF6"/>
    <w:rsid w:val="00652A78"/>
    <w:rsid w:val="00653620"/>
    <w:rsid w:val="00670A64"/>
    <w:rsid w:val="00675BED"/>
    <w:rsid w:val="00691A7E"/>
    <w:rsid w:val="006A1F13"/>
    <w:rsid w:val="006B389A"/>
    <w:rsid w:val="006B6DD3"/>
    <w:rsid w:val="006C369E"/>
    <w:rsid w:val="006E18DC"/>
    <w:rsid w:val="006F126C"/>
    <w:rsid w:val="006F587D"/>
    <w:rsid w:val="00700376"/>
    <w:rsid w:val="00714F32"/>
    <w:rsid w:val="007363F4"/>
    <w:rsid w:val="00737717"/>
    <w:rsid w:val="00742CB4"/>
    <w:rsid w:val="0075213C"/>
    <w:rsid w:val="0076269F"/>
    <w:rsid w:val="00776980"/>
    <w:rsid w:val="00783E62"/>
    <w:rsid w:val="00792920"/>
    <w:rsid w:val="007A0695"/>
    <w:rsid w:val="007B354D"/>
    <w:rsid w:val="007D4893"/>
    <w:rsid w:val="007E09DD"/>
    <w:rsid w:val="007F5F4E"/>
    <w:rsid w:val="00802447"/>
    <w:rsid w:val="00825668"/>
    <w:rsid w:val="00826A08"/>
    <w:rsid w:val="00831029"/>
    <w:rsid w:val="008336B3"/>
    <w:rsid w:val="0083508F"/>
    <w:rsid w:val="00841645"/>
    <w:rsid w:val="008520EC"/>
    <w:rsid w:val="00864D62"/>
    <w:rsid w:val="00865DF8"/>
    <w:rsid w:val="00873429"/>
    <w:rsid w:val="0087545C"/>
    <w:rsid w:val="0087699E"/>
    <w:rsid w:val="008802D3"/>
    <w:rsid w:val="0088239B"/>
    <w:rsid w:val="008B059E"/>
    <w:rsid w:val="008C48AC"/>
    <w:rsid w:val="008D3A72"/>
    <w:rsid w:val="008E2167"/>
    <w:rsid w:val="008E24A1"/>
    <w:rsid w:val="008E66AC"/>
    <w:rsid w:val="008F0543"/>
    <w:rsid w:val="008F1491"/>
    <w:rsid w:val="008F2B00"/>
    <w:rsid w:val="008F38D7"/>
    <w:rsid w:val="0090549B"/>
    <w:rsid w:val="009428C8"/>
    <w:rsid w:val="00943A4B"/>
    <w:rsid w:val="00957108"/>
    <w:rsid w:val="009656C3"/>
    <w:rsid w:val="009673A8"/>
    <w:rsid w:val="00967D99"/>
    <w:rsid w:val="00981D76"/>
    <w:rsid w:val="0098321F"/>
    <w:rsid w:val="00983F81"/>
    <w:rsid w:val="00993388"/>
    <w:rsid w:val="009B2548"/>
    <w:rsid w:val="009C2D8F"/>
    <w:rsid w:val="009C2E0A"/>
    <w:rsid w:val="009C7F31"/>
    <w:rsid w:val="009D0DA3"/>
    <w:rsid w:val="009D78A5"/>
    <w:rsid w:val="009D7E60"/>
    <w:rsid w:val="00A10E6B"/>
    <w:rsid w:val="00A128A8"/>
    <w:rsid w:val="00A35E97"/>
    <w:rsid w:val="00A64869"/>
    <w:rsid w:val="00A754BB"/>
    <w:rsid w:val="00AA6552"/>
    <w:rsid w:val="00AA659F"/>
    <w:rsid w:val="00AC3227"/>
    <w:rsid w:val="00B0128E"/>
    <w:rsid w:val="00B07338"/>
    <w:rsid w:val="00B07653"/>
    <w:rsid w:val="00B14817"/>
    <w:rsid w:val="00B1604B"/>
    <w:rsid w:val="00B42D97"/>
    <w:rsid w:val="00B60141"/>
    <w:rsid w:val="00B74312"/>
    <w:rsid w:val="00B90621"/>
    <w:rsid w:val="00B94379"/>
    <w:rsid w:val="00B9441E"/>
    <w:rsid w:val="00BA0E54"/>
    <w:rsid w:val="00BB786B"/>
    <w:rsid w:val="00BD78EE"/>
    <w:rsid w:val="00BE658F"/>
    <w:rsid w:val="00BE66BF"/>
    <w:rsid w:val="00BF3047"/>
    <w:rsid w:val="00BF5296"/>
    <w:rsid w:val="00BF609E"/>
    <w:rsid w:val="00C00B33"/>
    <w:rsid w:val="00C03388"/>
    <w:rsid w:val="00C0712E"/>
    <w:rsid w:val="00C200BD"/>
    <w:rsid w:val="00C2304F"/>
    <w:rsid w:val="00C26C09"/>
    <w:rsid w:val="00C44CF5"/>
    <w:rsid w:val="00C65001"/>
    <w:rsid w:val="00C77E21"/>
    <w:rsid w:val="00C91ABB"/>
    <w:rsid w:val="00C97D4D"/>
    <w:rsid w:val="00CA2E55"/>
    <w:rsid w:val="00CB1466"/>
    <w:rsid w:val="00CB2171"/>
    <w:rsid w:val="00CC09A9"/>
    <w:rsid w:val="00CD6F14"/>
    <w:rsid w:val="00D0134C"/>
    <w:rsid w:val="00D073E0"/>
    <w:rsid w:val="00D7368D"/>
    <w:rsid w:val="00D760DF"/>
    <w:rsid w:val="00DA4E52"/>
    <w:rsid w:val="00DB07B4"/>
    <w:rsid w:val="00DB0874"/>
    <w:rsid w:val="00DD18C0"/>
    <w:rsid w:val="00DF1EBD"/>
    <w:rsid w:val="00E10CB0"/>
    <w:rsid w:val="00E273C8"/>
    <w:rsid w:val="00E449EE"/>
    <w:rsid w:val="00E52EF4"/>
    <w:rsid w:val="00E5750C"/>
    <w:rsid w:val="00E76ADE"/>
    <w:rsid w:val="00E87A77"/>
    <w:rsid w:val="00EA05B3"/>
    <w:rsid w:val="00EB5A7E"/>
    <w:rsid w:val="00ED26F6"/>
    <w:rsid w:val="00EF5C5A"/>
    <w:rsid w:val="00EF7B6E"/>
    <w:rsid w:val="00F117D3"/>
    <w:rsid w:val="00F31034"/>
    <w:rsid w:val="00F41239"/>
    <w:rsid w:val="00F502F6"/>
    <w:rsid w:val="00F60D36"/>
    <w:rsid w:val="00F65FC5"/>
    <w:rsid w:val="00F74FBF"/>
    <w:rsid w:val="00F76102"/>
    <w:rsid w:val="00F76CD4"/>
    <w:rsid w:val="00F8360A"/>
    <w:rsid w:val="00F86259"/>
    <w:rsid w:val="00F92C46"/>
    <w:rsid w:val="00F96BC5"/>
    <w:rsid w:val="00FA7399"/>
    <w:rsid w:val="00FB3106"/>
    <w:rsid w:val="00FE66E4"/>
    <w:rsid w:val="00FF3545"/>
    <w:rsid w:val="01FD2433"/>
    <w:rsid w:val="02A402B0"/>
    <w:rsid w:val="03FA4F30"/>
    <w:rsid w:val="061E5580"/>
    <w:rsid w:val="07811501"/>
    <w:rsid w:val="0A3E03DD"/>
    <w:rsid w:val="0D6C2793"/>
    <w:rsid w:val="1285376F"/>
    <w:rsid w:val="14223A0E"/>
    <w:rsid w:val="15DB751F"/>
    <w:rsid w:val="19356FDA"/>
    <w:rsid w:val="29CC4460"/>
    <w:rsid w:val="2A5754CF"/>
    <w:rsid w:val="33B01EC5"/>
    <w:rsid w:val="354824E5"/>
    <w:rsid w:val="371E0226"/>
    <w:rsid w:val="394C1291"/>
    <w:rsid w:val="3A2476E2"/>
    <w:rsid w:val="3C7107F5"/>
    <w:rsid w:val="3D0E4A62"/>
    <w:rsid w:val="406242B1"/>
    <w:rsid w:val="416275DD"/>
    <w:rsid w:val="424C664A"/>
    <w:rsid w:val="5251711B"/>
    <w:rsid w:val="584C71F8"/>
    <w:rsid w:val="58587D3A"/>
    <w:rsid w:val="586D5E8E"/>
    <w:rsid w:val="645B1C35"/>
    <w:rsid w:val="64825DFA"/>
    <w:rsid w:val="67AF7C8C"/>
    <w:rsid w:val="6C4E357B"/>
    <w:rsid w:val="70223A22"/>
    <w:rsid w:val="70C5253E"/>
    <w:rsid w:val="77023201"/>
    <w:rsid w:val="7D287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link w:val="28"/>
    <w:unhideWhenUsed/>
    <w:qFormat/>
    <w:uiPriority w:val="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qFormat/>
    <w:uiPriority w:val="0"/>
    <w:pPr>
      <w:keepNext/>
      <w:jc w:val="center"/>
      <w:outlineLvl w:val="2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Strong"/>
    <w:qFormat/>
    <w:uiPriority w:val="0"/>
    <w:rPr>
      <w:rFonts w:cs="Times New Roman"/>
      <w:b/>
      <w:bCs/>
    </w:rPr>
  </w:style>
  <w:style w:type="paragraph" w:styleId="9">
    <w:name w:val="Balloon Text"/>
    <w:basedOn w:val="1"/>
    <w:link w:val="24"/>
    <w:qFormat/>
    <w:uiPriority w:val="99"/>
    <w:rPr>
      <w:rFonts w:ascii="Tahoma" w:hAnsi="Tahoma"/>
      <w:sz w:val="16"/>
      <w:szCs w:val="16"/>
    </w:rPr>
  </w:style>
  <w:style w:type="paragraph" w:styleId="10">
    <w:name w:val="Body Text Indent 3"/>
    <w:basedOn w:val="1"/>
    <w:link w:val="23"/>
    <w:qFormat/>
    <w:uiPriority w:val="0"/>
    <w:pPr>
      <w:jc w:val="center"/>
    </w:pPr>
    <w:rPr>
      <w:sz w:val="24"/>
    </w:rPr>
  </w:style>
  <w:style w:type="paragraph" w:styleId="11">
    <w:name w:val="Body Text Indent"/>
    <w:basedOn w:val="1"/>
    <w:link w:val="29"/>
    <w:qFormat/>
    <w:uiPriority w:val="0"/>
    <w:pPr>
      <w:spacing w:after="120"/>
      <w:ind w:left="283"/>
    </w:pPr>
  </w:style>
  <w:style w:type="paragraph" w:customStyle="1" w:styleId="12">
    <w:name w:val="ConsPlusNonformat"/>
    <w:link w:val="13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3">
    <w:name w:val="ConsPlusNonformat Знак"/>
    <w:link w:val="12"/>
    <w:qFormat/>
    <w:uiPriority w:val="0"/>
    <w:rPr>
      <w:rFonts w:ascii="Courier New" w:hAnsi="Courier New" w:cs="Courier New"/>
      <w:lang w:val="ru-RU" w:eastAsia="ru-RU" w:bidi="ar-SA"/>
    </w:rPr>
  </w:style>
  <w:style w:type="paragraph" w:customStyle="1" w:styleId="14">
    <w:name w:val="ConsPlusNormal"/>
    <w:link w:val="26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styleId="15">
    <w:name w:val="List Paragraph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6">
    <w:name w:val="Style1"/>
    <w:basedOn w:val="1"/>
    <w:qFormat/>
    <w:uiPriority w:val="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7">
    <w:name w:val="Style2"/>
    <w:basedOn w:val="1"/>
    <w:qFormat/>
    <w:uiPriority w:val="0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18">
    <w:name w:val="Style6"/>
    <w:basedOn w:val="1"/>
    <w:qFormat/>
    <w:uiPriority w:val="0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19">
    <w:name w:val="Style7"/>
    <w:basedOn w:val="1"/>
    <w:qFormat/>
    <w:uiPriority w:val="0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character" w:customStyle="1" w:styleId="20">
    <w:name w:val="Font Style11"/>
    <w:qFormat/>
    <w:uiPriority w:val="0"/>
    <w:rPr>
      <w:rFonts w:ascii="Times New Roman" w:hAnsi="Times New Roman" w:cs="Times New Roman"/>
      <w:sz w:val="22"/>
      <w:szCs w:val="22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character" w:customStyle="1" w:styleId="22">
    <w:name w:val="Заголовок 3 Знак"/>
    <w:link w:val="4"/>
    <w:qFormat/>
    <w:uiPriority w:val="0"/>
    <w:rPr>
      <w:sz w:val="28"/>
    </w:rPr>
  </w:style>
  <w:style w:type="character" w:customStyle="1" w:styleId="23">
    <w:name w:val="Основной текст с отступом 3 Знак"/>
    <w:link w:val="10"/>
    <w:qFormat/>
    <w:uiPriority w:val="0"/>
    <w:rPr>
      <w:sz w:val="24"/>
    </w:rPr>
  </w:style>
  <w:style w:type="character" w:customStyle="1" w:styleId="24">
    <w:name w:val="Текст выноски Знак"/>
    <w:link w:val="9"/>
    <w:qFormat/>
    <w:uiPriority w:val="99"/>
    <w:rPr>
      <w:rFonts w:ascii="Tahoma" w:hAnsi="Tahoma" w:cs="Tahoma"/>
      <w:sz w:val="16"/>
      <w:szCs w:val="16"/>
    </w:rPr>
  </w:style>
  <w:style w:type="paragraph" w:customStyle="1" w:styleId="25">
    <w:name w:val=" Знак Знак1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6">
    <w:name w:val="ConsPlusNormal Знак"/>
    <w:link w:val="14"/>
    <w:qFormat/>
    <w:locked/>
    <w:uiPriority w:val="0"/>
    <w:rPr>
      <w:rFonts w:ascii="Arial" w:hAnsi="Arial" w:eastAsia="Calibri" w:cs="Arial"/>
      <w:lang w:val="ru-RU" w:eastAsia="ru-RU" w:bidi="ar-SA"/>
    </w:rPr>
  </w:style>
  <w:style w:type="paragraph" w:styleId="27">
    <w:name w:val="No Spacing"/>
    <w:qFormat/>
    <w:uiPriority w:val="1"/>
    <w:pPr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8">
    <w:name w:val="Заголовок 2 Знак"/>
    <w:link w:val="3"/>
    <w:qFormat/>
    <w:uiPriority w:val="0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29">
    <w:name w:val="Основной текст с отступом Знак"/>
    <w:basedOn w:val="5"/>
    <w:link w:val="11"/>
    <w:qFormat/>
    <w:uiPriority w:val="0"/>
  </w:style>
  <w:style w:type="paragraph" w:customStyle="1" w:styleId="30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17</Pages>
  <Words>7059</Words>
  <Characters>40237</Characters>
  <Lines>335</Lines>
  <Paragraphs>94</Paragraphs>
  <TotalTime>16</TotalTime>
  <ScaleCrop>false</ScaleCrop>
  <LinksUpToDate>false</LinksUpToDate>
  <CharactersWithSpaces>47202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2020-12-01T07:02:00Z</dcterms:created>
  <dc:creator>Светлана</dc:creator>
  <cp:lastModifiedBy>Юлия Ягодка</cp:lastModifiedBy>
  <cp:lastPrinted>2024-12-10T07:38:10Z</cp:lastPrinted>
  <dcterms:modified xsi:type="dcterms:W3CDTF">2024-12-10T07:49:28Z</dcterms:modified>
  <dc:title>Р Е Е С Т 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F41A04D1004C47DFB616D7CDB4FDBE8F_13</vt:lpwstr>
  </property>
</Properties>
</file>