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Аналитическая записка</w:t>
      </w:r>
    </w:p>
    <w:p>
      <w:pPr>
        <w:suppressAutoHyphens/>
        <w:spacing w:after="0" w:line="240" w:lineRule="auto"/>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о результатах оценки эффективности предоставленных налоговых расходов Белоярского района за 202</w:t>
      </w:r>
      <w:r>
        <w:rPr>
          <w:rFonts w:hint="default" w:ascii="Times New Roman" w:hAnsi="Times New Roman" w:eastAsia="Calibri" w:cs="Times New Roman"/>
          <w:b/>
          <w:bCs/>
          <w:sz w:val="24"/>
          <w:szCs w:val="24"/>
          <w:lang w:val="ru-RU" w:eastAsia="zh-CN"/>
        </w:rPr>
        <w:t>1</w:t>
      </w:r>
      <w:r>
        <w:rPr>
          <w:rFonts w:ascii="Times New Roman" w:hAnsi="Times New Roman" w:eastAsia="Calibri" w:cs="Times New Roman"/>
          <w:b/>
          <w:bCs/>
          <w:sz w:val="24"/>
          <w:szCs w:val="24"/>
          <w:lang w:eastAsia="zh-CN"/>
        </w:rPr>
        <w:t xml:space="preserve"> год</w:t>
      </w:r>
    </w:p>
    <w:p>
      <w:pPr>
        <w:suppressAutoHyphens/>
        <w:spacing w:after="0" w:line="240" w:lineRule="auto"/>
        <w:ind w:left="360"/>
        <w:jc w:val="center"/>
        <w:rPr>
          <w:rFonts w:ascii="Times New Roman" w:hAnsi="Times New Roman" w:eastAsia="Calibri" w:cs="Times New Roman"/>
          <w:b/>
          <w:sz w:val="24"/>
          <w:szCs w:val="24"/>
          <w:lang w:eastAsia="zh-CN"/>
        </w:rPr>
      </w:pPr>
    </w:p>
    <w:p>
      <w:pPr>
        <w:suppressAutoHyphens/>
        <w:spacing w:after="0" w:line="240" w:lineRule="auto"/>
        <w:ind w:firstLine="851"/>
        <w:jc w:val="both"/>
        <w:rPr>
          <w:rFonts w:ascii="Times New Roman" w:hAnsi="Times New Roman" w:eastAsia="Calibri" w:cs="Times New Roman"/>
          <w:b/>
          <w:sz w:val="24"/>
          <w:szCs w:val="24"/>
          <w:lang w:eastAsia="zh-CN"/>
        </w:rPr>
      </w:pPr>
    </w:p>
    <w:p>
      <w:pPr>
        <w:suppressAutoHyphens/>
        <w:spacing w:after="0" w:line="240" w:lineRule="auto"/>
        <w:ind w:firstLine="660" w:firstLineChars="275"/>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Оценка эффективности предоставленных налоговых расходов Белоярского района  (далее - района) за 202</w:t>
      </w:r>
      <w:r>
        <w:rPr>
          <w:rFonts w:hint="default" w:ascii="Times New Roman" w:hAnsi="Times New Roman" w:eastAsia="Calibri" w:cs="Times New Roman"/>
          <w:sz w:val="24"/>
          <w:szCs w:val="24"/>
          <w:lang w:val="ru-RU" w:eastAsia="zh-CN"/>
        </w:rPr>
        <w:t>1</w:t>
      </w:r>
      <w:r>
        <w:rPr>
          <w:rFonts w:ascii="Times New Roman" w:hAnsi="Times New Roman" w:eastAsia="Calibri" w:cs="Times New Roman"/>
          <w:sz w:val="24"/>
          <w:szCs w:val="24"/>
          <w:lang w:eastAsia="zh-CN"/>
        </w:rPr>
        <w:t xml:space="preserve"> год проведена в соответствии с Порядком, утверждённым постановлением администрации Белоярского района от 20 августа 2020 года № 738 «Об утверждении Порядка оценки налоговых расходов Белоярского района и поселений в границах Белоярского района». Направлена на оптимизацию перечня налоговых преференций, установленных нормативными правовыми актами представительных органов местного самоуправления района по налогам и сборам, обеспечение оптимального выбора объектов для предоставления государственной (муниципальной) поддержки в виде данных налоговых преференций.</w:t>
      </w:r>
    </w:p>
    <w:p>
      <w:pPr>
        <w:suppressAutoHyphens/>
        <w:spacing w:after="0" w:line="240" w:lineRule="auto"/>
        <w:ind w:firstLine="660" w:firstLineChars="275"/>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Перечень налоговых расходов района</w:t>
      </w:r>
      <w:r>
        <w:rPr>
          <w:rFonts w:hint="default" w:ascii="Times New Roman" w:hAnsi="Times New Roman" w:eastAsia="Calibri" w:cs="Times New Roman"/>
          <w:sz w:val="24"/>
          <w:szCs w:val="24"/>
          <w:lang w:val="ru-RU" w:eastAsia="zh-CN"/>
        </w:rPr>
        <w:t xml:space="preserve"> </w:t>
      </w:r>
      <w:r>
        <w:rPr>
          <w:rFonts w:ascii="Times New Roman" w:hAnsi="Times New Roman" w:eastAsia="Calibri" w:cs="Times New Roman"/>
          <w:sz w:val="24"/>
          <w:szCs w:val="24"/>
          <w:lang w:eastAsia="zh-CN"/>
        </w:rPr>
        <w:t xml:space="preserve"> (далее - Перечень) сформирован Комитетом по финансам и налоговой политике администрации Белоярского района в соответствии с Порядком, утверждённым постановлением администрации Белоярского района от 23 июня 2020 года № 550 «Об утверждении Порядка формирования перечня налоговых расходов Белоярского района и поселений в границах Белоярского района».</w:t>
      </w:r>
    </w:p>
    <w:p>
      <w:pPr>
        <w:suppressAutoHyphens/>
        <w:spacing w:after="0" w:line="240" w:lineRule="auto"/>
        <w:ind w:firstLine="660" w:firstLineChars="275"/>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В Перечень включено 9</w:t>
      </w:r>
      <w:r>
        <w:rPr>
          <w:rFonts w:hint="default" w:ascii="Times New Roman" w:hAnsi="Times New Roman" w:eastAsia="Calibri" w:cs="Times New Roman"/>
          <w:sz w:val="24"/>
          <w:szCs w:val="24"/>
          <w:lang w:val="ru-RU" w:eastAsia="zh-CN"/>
        </w:rPr>
        <w:t xml:space="preserve"> видов</w:t>
      </w:r>
      <w:r>
        <w:rPr>
          <w:rFonts w:ascii="Times New Roman" w:hAnsi="Times New Roman" w:eastAsia="Calibri" w:cs="Times New Roman"/>
          <w:sz w:val="24"/>
          <w:szCs w:val="24"/>
          <w:lang w:eastAsia="zh-CN"/>
        </w:rPr>
        <w:t xml:space="preserve"> налоговых расходов, обусловленных льготами, пониженными ставками и иными преференциями по местным налогам (земельный налог, налог на имущество физических лиц). Налоговые расходы соответствуют целям 5 муниципальных программ Белоярского района</w:t>
      </w:r>
      <w:r>
        <w:rPr>
          <w:rFonts w:hint="default" w:ascii="Times New Roman" w:hAnsi="Times New Roman" w:eastAsia="Calibri" w:cs="Times New Roman"/>
          <w:sz w:val="24"/>
          <w:szCs w:val="24"/>
          <w:lang w:val="ru-RU" w:eastAsia="zh-CN"/>
        </w:rPr>
        <w:t xml:space="preserve"> и 1 цели Стратегии социально-экономического развития Белоярского района</w:t>
      </w:r>
      <w:r>
        <w:rPr>
          <w:rFonts w:ascii="Times New Roman" w:hAnsi="Times New Roman" w:eastAsia="Calibri" w:cs="Times New Roman"/>
          <w:sz w:val="24"/>
          <w:szCs w:val="24"/>
          <w:lang w:eastAsia="zh-CN"/>
        </w:rPr>
        <w:t xml:space="preserve">. </w:t>
      </w:r>
    </w:p>
    <w:p>
      <w:pPr>
        <w:suppressAutoHyphens/>
        <w:spacing w:after="0" w:line="240" w:lineRule="auto"/>
        <w:ind w:firstLine="660" w:firstLineChars="275"/>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Определены типы налоговых расходов в зависимости от целевой категории: стимулирующие, социальные и технические.</w:t>
      </w:r>
    </w:p>
    <w:p>
      <w:pPr>
        <w:suppressAutoHyphens/>
        <w:spacing w:after="0" w:line="240" w:lineRule="auto"/>
        <w:ind w:firstLine="660" w:firstLineChars="275"/>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Оценка эффективности предоставленных налоговых расходов проведена кураторами налоговых расходов района, на основе результатов которых подготовлена настоящая Аналитическая записка и сводный отчет об оценке эффективности предоставленных налоговых расходов района за 202</w:t>
      </w:r>
      <w:r>
        <w:rPr>
          <w:rFonts w:hint="default" w:ascii="Times New Roman" w:hAnsi="Times New Roman" w:eastAsia="Calibri" w:cs="Times New Roman"/>
          <w:sz w:val="24"/>
          <w:szCs w:val="24"/>
          <w:lang w:val="ru-RU" w:eastAsia="zh-CN"/>
        </w:rPr>
        <w:t>1</w:t>
      </w:r>
      <w:r>
        <w:rPr>
          <w:rFonts w:ascii="Times New Roman" w:hAnsi="Times New Roman" w:eastAsia="Calibri" w:cs="Times New Roman"/>
          <w:sz w:val="24"/>
          <w:szCs w:val="24"/>
          <w:lang w:eastAsia="zh-CN"/>
        </w:rPr>
        <w:t xml:space="preserve"> год (приложение</w:t>
      </w:r>
      <w:r>
        <w:rPr>
          <w:rFonts w:hint="default" w:ascii="Times New Roman" w:hAnsi="Times New Roman" w:eastAsia="Calibri" w:cs="Times New Roman"/>
          <w:sz w:val="24"/>
          <w:szCs w:val="24"/>
          <w:lang w:val="ru-RU" w:eastAsia="zh-CN"/>
        </w:rPr>
        <w:t xml:space="preserve"> 2</w:t>
      </w:r>
      <w:r>
        <w:rPr>
          <w:rFonts w:ascii="Times New Roman" w:hAnsi="Times New Roman" w:eastAsia="Calibri" w:cs="Times New Roman"/>
          <w:sz w:val="24"/>
          <w:szCs w:val="24"/>
          <w:lang w:eastAsia="zh-CN"/>
        </w:rPr>
        <w:t xml:space="preserve"> к аналитической записке).</w:t>
      </w:r>
    </w:p>
    <w:p>
      <w:pPr>
        <w:suppressAutoHyphens/>
        <w:spacing w:after="0" w:line="240" w:lineRule="auto"/>
        <w:ind w:firstLine="851"/>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Информация о структуре и динамике налоговых расходов района по видам налогов за 201</w:t>
      </w:r>
      <w:r>
        <w:rPr>
          <w:rFonts w:hint="default" w:ascii="Times New Roman" w:hAnsi="Times New Roman" w:eastAsia="Calibri" w:cs="Times New Roman"/>
          <w:sz w:val="24"/>
          <w:szCs w:val="24"/>
          <w:lang w:val="ru-RU" w:eastAsia="zh-CN"/>
        </w:rPr>
        <w:t>9</w:t>
      </w:r>
      <w:r>
        <w:rPr>
          <w:rFonts w:ascii="Times New Roman" w:hAnsi="Times New Roman" w:eastAsia="Calibri" w:cs="Times New Roman"/>
          <w:sz w:val="24"/>
          <w:szCs w:val="24"/>
          <w:lang w:eastAsia="zh-CN"/>
        </w:rPr>
        <w:t xml:space="preserve"> – 202</w:t>
      </w:r>
      <w:r>
        <w:rPr>
          <w:rFonts w:hint="default" w:ascii="Times New Roman" w:hAnsi="Times New Roman" w:eastAsia="Calibri" w:cs="Times New Roman"/>
          <w:sz w:val="24"/>
          <w:szCs w:val="24"/>
          <w:lang w:val="ru-RU" w:eastAsia="zh-CN"/>
        </w:rPr>
        <w:t>1</w:t>
      </w:r>
      <w:r>
        <w:rPr>
          <w:rFonts w:ascii="Times New Roman" w:hAnsi="Times New Roman" w:eastAsia="Calibri" w:cs="Times New Roman"/>
          <w:sz w:val="24"/>
          <w:szCs w:val="24"/>
          <w:lang w:eastAsia="zh-CN"/>
        </w:rPr>
        <w:t xml:space="preserve"> годы представлена в таблице 1. </w:t>
      </w:r>
    </w:p>
    <w:p>
      <w:pPr>
        <w:widowControl w:val="0"/>
        <w:suppressAutoHyphens/>
        <w:autoSpaceDE w:val="0"/>
        <w:spacing w:after="0" w:line="240" w:lineRule="auto"/>
        <w:ind w:firstLine="709"/>
        <w:jc w:val="right"/>
        <w:textAlignment w:val="baseline"/>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Таблица 1</w:t>
      </w:r>
    </w:p>
    <w:p>
      <w:pPr>
        <w:widowControl w:val="0"/>
        <w:suppressAutoHyphens/>
        <w:autoSpaceDE w:val="0"/>
        <w:spacing w:after="0" w:line="240" w:lineRule="auto"/>
        <w:ind w:firstLine="709"/>
        <w:jc w:val="both"/>
        <w:textAlignment w:val="baseline"/>
        <w:rPr>
          <w:rFonts w:ascii="Times New Roman" w:hAnsi="Times New Roman" w:eastAsia="Calibri" w:cs="Times New Roman"/>
          <w:sz w:val="24"/>
          <w:szCs w:val="24"/>
          <w:lang w:eastAsia="zh-CN"/>
        </w:rPr>
      </w:pPr>
    </w:p>
    <w:p>
      <w:pPr>
        <w:widowControl w:val="0"/>
        <w:suppressAutoHyphens/>
        <w:autoSpaceDE w:val="0"/>
        <w:spacing w:after="0" w:line="240" w:lineRule="auto"/>
        <w:jc w:val="center"/>
        <w:textAlignment w:val="baseline"/>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Структура и динамика налоговых расходов по видам налогов  </w:t>
      </w:r>
    </w:p>
    <w:p>
      <w:pPr>
        <w:widowControl w:val="0"/>
        <w:suppressAutoHyphens/>
        <w:autoSpaceDE w:val="0"/>
        <w:spacing w:after="0" w:line="240" w:lineRule="auto"/>
        <w:jc w:val="center"/>
        <w:textAlignment w:val="baseline"/>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за 201</w:t>
      </w:r>
      <w:r>
        <w:rPr>
          <w:rFonts w:hint="default" w:ascii="Times New Roman" w:hAnsi="Times New Roman" w:eastAsia="Calibri" w:cs="Times New Roman"/>
          <w:b/>
          <w:sz w:val="24"/>
          <w:szCs w:val="24"/>
          <w:lang w:val="ru-RU" w:eastAsia="zh-CN"/>
        </w:rPr>
        <w:t>9</w:t>
      </w:r>
      <w:r>
        <w:rPr>
          <w:rFonts w:ascii="Times New Roman" w:hAnsi="Times New Roman" w:eastAsia="Calibri" w:cs="Times New Roman"/>
          <w:b/>
          <w:sz w:val="24"/>
          <w:szCs w:val="24"/>
          <w:lang w:eastAsia="zh-CN"/>
        </w:rPr>
        <w:t xml:space="preserve"> – 202</w:t>
      </w:r>
      <w:r>
        <w:rPr>
          <w:rFonts w:hint="default" w:ascii="Times New Roman" w:hAnsi="Times New Roman" w:eastAsia="Calibri" w:cs="Times New Roman"/>
          <w:b/>
          <w:sz w:val="24"/>
          <w:szCs w:val="24"/>
          <w:lang w:val="ru-RU" w:eastAsia="zh-CN"/>
        </w:rPr>
        <w:t>1</w:t>
      </w:r>
      <w:r>
        <w:rPr>
          <w:rFonts w:ascii="Times New Roman" w:hAnsi="Times New Roman" w:eastAsia="Calibri" w:cs="Times New Roman"/>
          <w:b/>
          <w:sz w:val="24"/>
          <w:szCs w:val="24"/>
          <w:lang w:eastAsia="zh-CN"/>
        </w:rPr>
        <w:t xml:space="preserve"> годы</w:t>
      </w:r>
    </w:p>
    <w:p>
      <w:pPr>
        <w:widowControl w:val="0"/>
        <w:suppressAutoHyphens/>
        <w:autoSpaceDE w:val="0"/>
        <w:spacing w:after="0" w:line="240" w:lineRule="auto"/>
        <w:jc w:val="right"/>
        <w:textAlignment w:val="baseline"/>
        <w:rPr>
          <w:rFonts w:ascii="Times New Roman" w:hAnsi="Times New Roman" w:eastAsia="Times New Roman" w:cs="Times New Roman"/>
          <w:b/>
          <w:kern w:val="2"/>
          <w:sz w:val="20"/>
          <w:szCs w:val="20"/>
          <w:lang w:eastAsia="zh-CN"/>
        </w:rPr>
      </w:pPr>
      <w:r>
        <w:rPr>
          <w:rFonts w:ascii="Times New Roman" w:hAnsi="Times New Roman" w:eastAsia="Times New Roman" w:cs="Times New Roman"/>
          <w:b/>
          <w:kern w:val="2"/>
          <w:sz w:val="20"/>
          <w:szCs w:val="20"/>
          <w:lang w:eastAsia="zh-CN"/>
        </w:rPr>
        <w:t>(тыс.рублей)</w:t>
      </w:r>
    </w:p>
    <w:tbl>
      <w:tblPr>
        <w:tblStyle w:val="3"/>
        <w:tblW w:w="9842" w:type="dxa"/>
        <w:tblInd w:w="-5" w:type="dxa"/>
        <w:tblLayout w:type="fixed"/>
        <w:tblCellMar>
          <w:top w:w="0" w:type="dxa"/>
          <w:left w:w="108" w:type="dxa"/>
          <w:bottom w:w="0" w:type="dxa"/>
          <w:right w:w="108" w:type="dxa"/>
        </w:tblCellMar>
      </w:tblPr>
      <w:tblGrid>
        <w:gridCol w:w="851"/>
        <w:gridCol w:w="4499"/>
        <w:gridCol w:w="1367"/>
        <w:gridCol w:w="1645"/>
        <w:gridCol w:w="1480"/>
      </w:tblGrid>
      <w:tr>
        <w:trPr>
          <w:tblHeader/>
        </w:trPr>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0"/>
                <w:szCs w:val="20"/>
                <w:lang w:eastAsia="zh-CN"/>
              </w:rPr>
            </w:pPr>
            <w:r>
              <w:rPr>
                <w:rFonts w:ascii="Times New Roman" w:hAnsi="Times New Roman" w:eastAsia="Times New Roman" w:cs="Times New Roman"/>
                <w:b/>
                <w:kern w:val="2"/>
                <w:sz w:val="24"/>
                <w:szCs w:val="24"/>
                <w:lang w:eastAsia="zh-CN"/>
              </w:rPr>
              <w:t>№ п/п</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0"/>
                <w:szCs w:val="20"/>
                <w:lang w:eastAsia="zh-CN"/>
              </w:rPr>
            </w:pPr>
            <w:r>
              <w:rPr>
                <w:rFonts w:ascii="Times New Roman" w:hAnsi="Times New Roman" w:eastAsia="Times New Roman" w:cs="Times New Roman"/>
                <w:b/>
                <w:kern w:val="2"/>
                <w:sz w:val="24"/>
                <w:szCs w:val="24"/>
                <w:lang w:eastAsia="zh-CN"/>
              </w:rPr>
              <w:t>Наименование показателей</w:t>
            </w:r>
          </w:p>
        </w:tc>
        <w:tc>
          <w:tcPr>
            <w:tcW w:w="1367" w:type="dxa"/>
            <w:tcBorders>
              <w:top w:val="single" w:color="000000" w:sz="4" w:space="0"/>
              <w:left w:val="single" w:color="000000" w:sz="4" w:space="0"/>
              <w:bottom w:val="single" w:color="000000" w:sz="4" w:space="0"/>
            </w:tcBorders>
            <w:shd w:val="clear" w:color="auto" w:fill="auto"/>
            <w:vAlign w:val="top"/>
          </w:tcPr>
          <w:p>
            <w:pPr>
              <w:widowControl w:val="0"/>
              <w:suppressAutoHyphens/>
              <w:spacing w:after="0" w:line="240" w:lineRule="auto"/>
              <w:jc w:val="center"/>
              <w:textAlignment w:val="baseline"/>
              <w:rPr>
                <w:rFonts w:ascii="Times New Roman" w:hAnsi="Times New Roman" w:eastAsia="Times New Roman" w:cs="Times New Roman"/>
                <w:b/>
                <w:kern w:val="2"/>
                <w:sz w:val="20"/>
                <w:szCs w:val="20"/>
                <w:lang w:val="ru-RU" w:eastAsia="zh-CN" w:bidi="ar-SA"/>
              </w:rPr>
            </w:pPr>
            <w:r>
              <w:rPr>
                <w:rFonts w:ascii="Times New Roman" w:hAnsi="Times New Roman" w:eastAsia="Times New Roman" w:cs="Times New Roman"/>
                <w:b/>
                <w:kern w:val="2"/>
                <w:sz w:val="24"/>
                <w:szCs w:val="24"/>
                <w:lang w:eastAsia="zh-CN"/>
              </w:rPr>
              <w:t>2019 год</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suppressAutoHyphens/>
              <w:spacing w:after="0" w:line="240" w:lineRule="auto"/>
              <w:jc w:val="center"/>
              <w:textAlignment w:val="baseline"/>
              <w:rPr>
                <w:rFonts w:ascii="Times New Roman" w:hAnsi="Times New Roman" w:eastAsia="Times New Roman" w:cs="Times New Roman"/>
                <w:b/>
                <w:kern w:val="2"/>
                <w:sz w:val="24"/>
                <w:szCs w:val="24"/>
                <w:lang w:val="ru-RU" w:eastAsia="zh-CN" w:bidi="ar-SA"/>
              </w:rPr>
            </w:pPr>
            <w:r>
              <w:rPr>
                <w:rFonts w:ascii="Times New Roman" w:hAnsi="Times New Roman" w:eastAsia="Times New Roman" w:cs="Times New Roman"/>
                <w:b/>
                <w:kern w:val="2"/>
                <w:sz w:val="24"/>
                <w:szCs w:val="24"/>
                <w:lang w:eastAsia="zh-CN"/>
              </w:rPr>
              <w:t>2020 год</w:t>
            </w:r>
          </w:p>
        </w:tc>
        <w:tc>
          <w:tcPr>
            <w:tcW w:w="1480" w:type="dxa"/>
            <w:tcBorders>
              <w:top w:val="single" w:color="000000" w:sz="4" w:space="0"/>
              <w:left w:val="single" w:color="000000" w:sz="4" w:space="0"/>
              <w:bottom w:val="single" w:color="000000" w:sz="4" w:space="0"/>
              <w:right w:val="single" w:color="000000" w:sz="4" w:space="0"/>
            </w:tcBorders>
          </w:tcPr>
          <w:p>
            <w:pPr>
              <w:widowControl w:val="0"/>
              <w:suppressAutoHyphens/>
              <w:spacing w:after="0" w:line="240" w:lineRule="auto"/>
              <w:jc w:val="center"/>
              <w:textAlignment w:val="baseline"/>
              <w:rPr>
                <w:rFonts w:ascii="Times New Roman" w:hAnsi="Times New Roman" w:eastAsia="Times New Roman" w:cs="Times New Roman"/>
                <w:b/>
                <w:kern w:val="2"/>
                <w:sz w:val="24"/>
                <w:szCs w:val="24"/>
                <w:highlight w:val="none"/>
                <w:lang w:eastAsia="zh-CN"/>
              </w:rPr>
            </w:pPr>
            <w:r>
              <w:rPr>
                <w:rFonts w:ascii="Times New Roman" w:hAnsi="Times New Roman" w:eastAsia="Times New Roman" w:cs="Times New Roman"/>
                <w:b/>
                <w:kern w:val="2"/>
                <w:sz w:val="24"/>
                <w:szCs w:val="24"/>
                <w:highlight w:val="none"/>
                <w:lang w:eastAsia="zh-CN"/>
              </w:rPr>
              <w:t>202</w:t>
            </w:r>
            <w:r>
              <w:rPr>
                <w:rFonts w:hint="default" w:ascii="Times New Roman" w:hAnsi="Times New Roman" w:eastAsia="Times New Roman" w:cs="Times New Roman"/>
                <w:b/>
                <w:kern w:val="2"/>
                <w:sz w:val="24"/>
                <w:szCs w:val="24"/>
                <w:highlight w:val="none"/>
                <w:lang w:val="ru-RU" w:eastAsia="zh-CN"/>
              </w:rPr>
              <w:t>1</w:t>
            </w:r>
            <w:r>
              <w:rPr>
                <w:rFonts w:ascii="Times New Roman" w:hAnsi="Times New Roman" w:eastAsia="Times New Roman" w:cs="Times New Roman"/>
                <w:b/>
                <w:kern w:val="2"/>
                <w:sz w:val="24"/>
                <w:szCs w:val="24"/>
                <w:highlight w:val="none"/>
                <w:lang w:eastAsia="zh-CN"/>
              </w:rPr>
              <w:t xml:space="preserve"> год</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Объем налоговых и неналоговых доходов бюджета Белоярского района</w:t>
            </w:r>
          </w:p>
        </w:tc>
        <w:tc>
          <w:tcPr>
            <w:tcW w:w="1367"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800 230,2</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859 901,5</w:t>
            </w:r>
          </w:p>
        </w:tc>
        <w:tc>
          <w:tcPr>
            <w:tcW w:w="1480"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hint="default" w:ascii="Times New Roman" w:hAnsi="Times New Roman" w:eastAsia="Times New Roman" w:cs="Times New Roman"/>
                <w:kern w:val="2"/>
                <w:sz w:val="24"/>
                <w:szCs w:val="24"/>
                <w:highlight w:val="none"/>
                <w:lang w:val="ru-RU" w:eastAsia="zh-CN"/>
              </w:rPr>
            </w:pPr>
            <w:r>
              <w:rPr>
                <w:rFonts w:hint="default" w:ascii="Times New Roman" w:hAnsi="Times New Roman" w:eastAsia="Times New Roman" w:cs="Times New Roman"/>
                <w:kern w:val="2"/>
                <w:sz w:val="24"/>
                <w:szCs w:val="24"/>
                <w:highlight w:val="none"/>
                <w:lang w:val="ru-RU" w:eastAsia="zh-CN"/>
              </w:rPr>
              <w:t>806 501,5</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1.1</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Налоговые расходы, обусловленные льготами, пониженными ставками и иными преференциями, установленными муниципальными правовыми актами представительного органа Белоярского района по налогам и сборам, всего:</w:t>
            </w:r>
          </w:p>
        </w:tc>
        <w:tc>
          <w:tcPr>
            <w:tcW w:w="1367"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9 464,0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6 150,0</w:t>
            </w:r>
          </w:p>
        </w:tc>
        <w:tc>
          <w:tcPr>
            <w:tcW w:w="1480"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0,00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 1.2</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Темп роста (снижения) суммы налоговых расходов к предыдущему году, %</w:t>
            </w:r>
          </w:p>
        </w:tc>
        <w:tc>
          <w:tcPr>
            <w:tcW w:w="1367"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90,8</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65,0</w:t>
            </w:r>
          </w:p>
        </w:tc>
        <w:tc>
          <w:tcPr>
            <w:tcW w:w="1480"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0,00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1.3</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 процентах к объему налоговых и неналоговых доходов</w:t>
            </w:r>
          </w:p>
        </w:tc>
        <w:tc>
          <w:tcPr>
            <w:tcW w:w="1367"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1,2</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0,7</w:t>
            </w:r>
          </w:p>
        </w:tc>
        <w:tc>
          <w:tcPr>
            <w:tcW w:w="1480"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0,00</w:t>
            </w:r>
          </w:p>
        </w:tc>
      </w:tr>
      <w:tr>
        <w:tblPrEx>
          <w:tblCellMar>
            <w:top w:w="0" w:type="dxa"/>
            <w:left w:w="108" w:type="dxa"/>
            <w:bottom w:w="0" w:type="dxa"/>
            <w:right w:w="108" w:type="dxa"/>
          </w:tblCellMar>
        </w:tblPrEx>
        <w:trPr>
          <w:trHeight w:val="409" w:hRule="atLeast"/>
        </w:trPr>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2</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Поступления по  земельному налогу </w:t>
            </w:r>
          </w:p>
        </w:tc>
        <w:tc>
          <w:tcPr>
            <w:tcW w:w="1367"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17,8</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-17,8</w:t>
            </w:r>
          </w:p>
        </w:tc>
        <w:tc>
          <w:tcPr>
            <w:tcW w:w="1480"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21,2</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2.1</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Выпадающие доходы, обусловленные предоставленными преференциями в соответствии с решением Думы Белоярского района от 22.10.2010 года № 84 «О земельном налоге на межселенной территории Белоярского района»</w:t>
            </w:r>
          </w:p>
        </w:tc>
        <w:tc>
          <w:tcPr>
            <w:tcW w:w="1367"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1480"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2.2</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Темп роста (снижения) суммы налоговых расходов к предыдущему году, %</w:t>
            </w:r>
          </w:p>
        </w:tc>
        <w:tc>
          <w:tcPr>
            <w:tcW w:w="1367"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1480"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2.3</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 процентах к поступлению по земельному налогу</w:t>
            </w:r>
          </w:p>
        </w:tc>
        <w:tc>
          <w:tcPr>
            <w:tcW w:w="1367"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1480"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3</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Поступления по налогу на имущество физических лиц </w:t>
            </w:r>
          </w:p>
        </w:tc>
        <w:tc>
          <w:tcPr>
            <w:tcW w:w="1367" w:type="dxa"/>
            <w:tcBorders>
              <w:top w:val="single" w:color="000000" w:sz="4" w:space="0"/>
              <w:left w:val="single" w:color="000000" w:sz="4" w:space="0"/>
              <w:bottom w:val="single" w:color="000000" w:sz="4" w:space="0"/>
            </w:tcBorders>
            <w:shd w:val="clear" w:color="auto" w:fill="auto"/>
            <w:vAlign w:val="center"/>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w:t>
            </w:r>
          </w:p>
        </w:tc>
        <w:tc>
          <w:tcPr>
            <w:tcW w:w="1480"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after="0" w:line="240" w:lineRule="auto"/>
              <w:jc w:val="center"/>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0,9</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3.1</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Выпадающие доходы, обусловленные предоставленными преференциями в соответствии с решением Думы Белоярского района от 29.10.2014 года № 486 «Об утверждении Положения о налоге на имущество физических лиц на межселенной территории Белоярского района» </w:t>
            </w:r>
          </w:p>
        </w:tc>
        <w:tc>
          <w:tcPr>
            <w:tcW w:w="1367"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1480"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0,0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3.2</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Темп роста (снижения) суммы налоговых расходов к предыдущему году, %</w:t>
            </w:r>
          </w:p>
        </w:tc>
        <w:tc>
          <w:tcPr>
            <w:tcW w:w="1367"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1480"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3.3</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 процентах к поступлению по налогу на имущество физических лиц</w:t>
            </w:r>
          </w:p>
        </w:tc>
        <w:tc>
          <w:tcPr>
            <w:tcW w:w="1367"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1480"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4</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Поступления по единому налогу на вмененный доход</w:t>
            </w:r>
          </w:p>
        </w:tc>
        <w:tc>
          <w:tcPr>
            <w:tcW w:w="1367"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17 583,5</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color w:val="000000"/>
                <w:kern w:val="2"/>
                <w:sz w:val="24"/>
                <w:szCs w:val="24"/>
                <w:lang w:val="ru-RU" w:eastAsia="zh-CN" w:bidi="ar-SA"/>
              </w:rPr>
            </w:pPr>
            <w:r>
              <w:rPr>
                <w:rFonts w:ascii="Times New Roman" w:hAnsi="Times New Roman" w:eastAsia="Times New Roman" w:cs="Times New Roman"/>
                <w:color w:val="000000"/>
                <w:kern w:val="2"/>
                <w:sz w:val="24"/>
                <w:szCs w:val="24"/>
                <w:lang w:eastAsia="zh-CN"/>
              </w:rPr>
              <w:t>13 555,1</w:t>
            </w:r>
          </w:p>
        </w:tc>
        <w:tc>
          <w:tcPr>
            <w:tcW w:w="1480"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hint="default" w:ascii="Times New Roman" w:hAnsi="Times New Roman" w:eastAsia="Times New Roman" w:cs="Times New Roman"/>
                <w:color w:val="000000"/>
                <w:kern w:val="2"/>
                <w:sz w:val="24"/>
                <w:szCs w:val="24"/>
                <w:lang w:val="ru-RU" w:eastAsia="zh-CN"/>
              </w:rPr>
            </w:pPr>
            <w:r>
              <w:rPr>
                <w:rFonts w:hint="default" w:ascii="Times New Roman" w:hAnsi="Times New Roman" w:eastAsia="Times New Roman" w:cs="Times New Roman"/>
                <w:color w:val="000000"/>
                <w:kern w:val="2"/>
                <w:sz w:val="24"/>
                <w:szCs w:val="24"/>
                <w:lang w:val="ru-RU" w:eastAsia="zh-CN"/>
              </w:rPr>
              <w:t>5 427,2</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4.1</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Выпадающие доходы, обусловленные предоставленными преференциями в соответствии с решением Думы Белоярского района от 18.11.2005 года № 131 «О введении в действие системы налогообложения в виде единого налога на вмененный доход для отдельных видов деятельности на территории Белоярского района»</w:t>
            </w:r>
          </w:p>
        </w:tc>
        <w:tc>
          <w:tcPr>
            <w:tcW w:w="1367"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9 464,0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6 150,0</w:t>
            </w:r>
          </w:p>
        </w:tc>
        <w:tc>
          <w:tcPr>
            <w:tcW w:w="1480"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4.2</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Темп роста (снижения) суммы предоставленных налоговых расходов к предыдущему году, %</w:t>
            </w:r>
          </w:p>
        </w:tc>
        <w:tc>
          <w:tcPr>
            <w:tcW w:w="1367"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90,8</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65,0</w:t>
            </w:r>
          </w:p>
        </w:tc>
        <w:tc>
          <w:tcPr>
            <w:tcW w:w="1480"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0</w:t>
            </w:r>
          </w:p>
        </w:tc>
      </w:tr>
      <w:tr>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4.3</w:t>
            </w:r>
          </w:p>
        </w:tc>
        <w:tc>
          <w:tcPr>
            <w:tcW w:w="4499" w:type="dxa"/>
            <w:tcBorders>
              <w:top w:val="single" w:color="000000" w:sz="4" w:space="0"/>
              <w:left w:val="single" w:color="000000" w:sz="4" w:space="0"/>
              <w:bottom w:val="single" w:color="000000" w:sz="4" w:space="0"/>
            </w:tcBorders>
            <w:shd w:val="clear" w:color="auto" w:fill="auto"/>
          </w:tcPr>
          <w:p>
            <w:pPr>
              <w:widowControl w:val="0"/>
              <w:suppressAutoHyphens/>
              <w:spacing w:after="0" w:line="240" w:lineRule="auto"/>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В процентах к поступлению единого налога на вменный доход </w:t>
            </w:r>
          </w:p>
        </w:tc>
        <w:tc>
          <w:tcPr>
            <w:tcW w:w="1367"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53,8</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45,4</w:t>
            </w:r>
          </w:p>
        </w:tc>
        <w:tc>
          <w:tcPr>
            <w:tcW w:w="1480"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0</w:t>
            </w:r>
          </w:p>
        </w:tc>
      </w:tr>
    </w:tbl>
    <w:p>
      <w:pPr>
        <w:widowControl w:val="0"/>
        <w:suppressAutoHyphens/>
        <w:spacing w:after="0" w:line="240" w:lineRule="auto"/>
        <w:ind w:firstLine="709"/>
        <w:jc w:val="both"/>
        <w:textAlignment w:val="baseline"/>
        <w:rPr>
          <w:rFonts w:ascii="Times New Roman" w:hAnsi="Times New Roman" w:eastAsia="Times New Roman" w:cs="Times New Roman"/>
          <w:kern w:val="2"/>
          <w:sz w:val="20"/>
          <w:szCs w:val="20"/>
          <w:lang w:eastAsia="zh-CN"/>
        </w:rPr>
      </w:pPr>
    </w:p>
    <w:p>
      <w:pPr>
        <w:widowControl w:val="0"/>
        <w:suppressAutoHyphens/>
        <w:spacing w:after="0" w:line="240" w:lineRule="auto"/>
        <w:ind w:firstLine="567"/>
        <w:jc w:val="both"/>
        <w:textAlignment w:val="baseline"/>
        <w:rPr>
          <w:rFonts w:ascii="Times New Roman" w:hAnsi="Times New Roman" w:eastAsia="Times New Roman" w:cs="Times New Roman"/>
          <w:kern w:val="2"/>
          <w:sz w:val="24"/>
          <w:szCs w:val="24"/>
          <w:lang w:eastAsia="zh-CN"/>
        </w:rPr>
      </w:pPr>
    </w:p>
    <w:p>
      <w:pPr>
        <w:widowControl w:val="0"/>
        <w:suppressAutoHyphens/>
        <w:spacing w:after="0" w:line="240" w:lineRule="auto"/>
        <w:ind w:firstLine="567"/>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Информация о структуре типов налоговых расходов района за период 201</w:t>
      </w:r>
      <w:r>
        <w:rPr>
          <w:rFonts w:hint="default" w:ascii="Times New Roman" w:hAnsi="Times New Roman" w:eastAsia="Times New Roman" w:cs="Times New Roman"/>
          <w:kern w:val="2"/>
          <w:sz w:val="24"/>
          <w:szCs w:val="24"/>
          <w:lang w:val="ru-RU" w:eastAsia="zh-CN"/>
        </w:rPr>
        <w:t>9</w:t>
      </w:r>
      <w:r>
        <w:rPr>
          <w:rFonts w:ascii="Times New Roman" w:hAnsi="Times New Roman" w:eastAsia="Times New Roman" w:cs="Times New Roman"/>
          <w:kern w:val="2"/>
          <w:sz w:val="24"/>
          <w:szCs w:val="24"/>
          <w:lang w:eastAsia="zh-CN"/>
        </w:rPr>
        <w:t xml:space="preserve"> – 202</w:t>
      </w:r>
      <w:r>
        <w:rPr>
          <w:rFonts w:hint="default" w:ascii="Times New Roman" w:hAnsi="Times New Roman" w:eastAsia="Times New Roman" w:cs="Times New Roman"/>
          <w:kern w:val="2"/>
          <w:sz w:val="24"/>
          <w:szCs w:val="24"/>
          <w:lang w:val="ru-RU" w:eastAsia="zh-CN"/>
        </w:rPr>
        <w:t>1</w:t>
      </w:r>
      <w:r>
        <w:rPr>
          <w:rFonts w:ascii="Times New Roman" w:hAnsi="Times New Roman" w:eastAsia="Times New Roman" w:cs="Times New Roman"/>
          <w:kern w:val="2"/>
          <w:sz w:val="24"/>
          <w:szCs w:val="24"/>
          <w:lang w:eastAsia="zh-CN"/>
        </w:rPr>
        <w:t xml:space="preserve"> годов представлена в таблице 2.</w:t>
      </w:r>
    </w:p>
    <w:p>
      <w:pPr>
        <w:widowControl w:val="0"/>
        <w:suppressAutoHyphens/>
        <w:spacing w:after="0" w:line="240" w:lineRule="auto"/>
        <w:ind w:firstLine="709"/>
        <w:jc w:val="right"/>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Таблица 2</w:t>
      </w:r>
    </w:p>
    <w:p>
      <w:pPr>
        <w:widowControl w:val="0"/>
        <w:suppressAutoHyphens/>
        <w:spacing w:after="0" w:line="240" w:lineRule="auto"/>
        <w:jc w:val="center"/>
        <w:textAlignment w:val="baseline"/>
        <w:rPr>
          <w:rFonts w:ascii="Times New Roman" w:hAnsi="Times New Roman" w:eastAsia="Times New Roman" w:cs="Times New Roman"/>
          <w:b/>
          <w:kern w:val="2"/>
          <w:sz w:val="24"/>
          <w:szCs w:val="24"/>
          <w:lang w:val="ru-RU" w:eastAsia="zh-CN"/>
        </w:rPr>
      </w:pPr>
    </w:p>
    <w:p>
      <w:pPr>
        <w:widowControl w:val="0"/>
        <w:suppressAutoHyphens/>
        <w:spacing w:after="0" w:line="240" w:lineRule="auto"/>
        <w:jc w:val="center"/>
        <w:textAlignment w:val="baseline"/>
        <w:rPr>
          <w:rFonts w:ascii="Times New Roman" w:hAnsi="Times New Roman" w:eastAsia="Times New Roman" w:cs="Times New Roman"/>
          <w:b/>
          <w:kern w:val="2"/>
          <w:sz w:val="24"/>
          <w:szCs w:val="24"/>
          <w:lang w:val="ru-RU" w:eastAsia="zh-CN"/>
        </w:rPr>
      </w:pPr>
    </w:p>
    <w:p>
      <w:pPr>
        <w:widowControl w:val="0"/>
        <w:suppressAutoHyphens/>
        <w:spacing w:after="0" w:line="240" w:lineRule="auto"/>
        <w:jc w:val="center"/>
        <w:textAlignment w:val="baseline"/>
        <w:rPr>
          <w:rFonts w:ascii="Times New Roman" w:hAnsi="Times New Roman" w:eastAsia="Times New Roman" w:cs="Times New Roman"/>
          <w:b/>
          <w:kern w:val="2"/>
          <w:sz w:val="24"/>
          <w:szCs w:val="24"/>
          <w:lang w:eastAsia="zh-CN"/>
        </w:rPr>
      </w:pPr>
      <w:r>
        <w:rPr>
          <w:rFonts w:ascii="Times New Roman" w:hAnsi="Times New Roman" w:eastAsia="Times New Roman" w:cs="Times New Roman"/>
          <w:b/>
          <w:kern w:val="2"/>
          <w:sz w:val="24"/>
          <w:szCs w:val="24"/>
          <w:lang w:val="ru-RU" w:eastAsia="zh-CN"/>
        </w:rPr>
        <w:t>С</w:t>
      </w:r>
      <w:r>
        <w:rPr>
          <w:rFonts w:ascii="Times New Roman" w:hAnsi="Times New Roman" w:eastAsia="Times New Roman" w:cs="Times New Roman"/>
          <w:b/>
          <w:kern w:val="2"/>
          <w:sz w:val="24"/>
          <w:szCs w:val="24"/>
          <w:lang w:eastAsia="zh-CN"/>
        </w:rPr>
        <w:t>труктура типов налоговых расходов за период 2019 – 202</w:t>
      </w:r>
      <w:r>
        <w:rPr>
          <w:rFonts w:hint="default" w:ascii="Times New Roman" w:hAnsi="Times New Roman" w:eastAsia="Times New Roman" w:cs="Times New Roman"/>
          <w:b/>
          <w:kern w:val="2"/>
          <w:sz w:val="24"/>
          <w:szCs w:val="24"/>
          <w:lang w:val="ru-RU" w:eastAsia="zh-CN"/>
        </w:rPr>
        <w:t>1</w:t>
      </w:r>
      <w:r>
        <w:rPr>
          <w:rFonts w:ascii="Times New Roman" w:hAnsi="Times New Roman" w:eastAsia="Times New Roman" w:cs="Times New Roman"/>
          <w:b/>
          <w:kern w:val="2"/>
          <w:sz w:val="24"/>
          <w:szCs w:val="24"/>
          <w:lang w:eastAsia="zh-CN"/>
        </w:rPr>
        <w:t xml:space="preserve"> годов</w:t>
      </w:r>
    </w:p>
    <w:p>
      <w:pPr>
        <w:widowControl w:val="0"/>
        <w:suppressAutoHyphens/>
        <w:spacing w:after="0" w:line="240" w:lineRule="auto"/>
        <w:jc w:val="center"/>
        <w:textAlignment w:val="baseline"/>
        <w:rPr>
          <w:rFonts w:ascii="Times New Roman" w:hAnsi="Times New Roman" w:eastAsia="Times New Roman" w:cs="Times New Roman"/>
          <w:kern w:val="2"/>
          <w:sz w:val="32"/>
          <w:szCs w:val="32"/>
          <w:lang w:eastAsia="zh-CN"/>
        </w:rPr>
      </w:pPr>
    </w:p>
    <w:tbl>
      <w:tblPr>
        <w:tblStyle w:val="3"/>
        <w:tblW w:w="9842" w:type="dxa"/>
        <w:tblInd w:w="-5" w:type="dxa"/>
        <w:tblLayout w:type="fixed"/>
        <w:tblCellMar>
          <w:top w:w="0" w:type="dxa"/>
          <w:left w:w="108" w:type="dxa"/>
          <w:bottom w:w="0" w:type="dxa"/>
          <w:right w:w="108" w:type="dxa"/>
        </w:tblCellMar>
      </w:tblPr>
      <w:tblGrid>
        <w:gridCol w:w="3686"/>
        <w:gridCol w:w="1276"/>
        <w:gridCol w:w="708"/>
        <w:gridCol w:w="1276"/>
        <w:gridCol w:w="709"/>
        <w:gridCol w:w="1134"/>
        <w:gridCol w:w="1053"/>
      </w:tblGrid>
      <w:tr>
        <w:tc>
          <w:tcPr>
            <w:tcW w:w="3686" w:type="dxa"/>
            <w:vMerge w:val="restart"/>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bCs/>
                <w:kern w:val="2"/>
                <w:sz w:val="24"/>
                <w:szCs w:val="24"/>
                <w:lang w:eastAsia="zh-CN"/>
              </w:rPr>
              <w:t>Наименование показателей</w:t>
            </w:r>
          </w:p>
        </w:tc>
        <w:tc>
          <w:tcPr>
            <w:tcW w:w="1984" w:type="dxa"/>
            <w:gridSpan w:val="2"/>
            <w:tcBorders>
              <w:top w:val="single" w:color="000000" w:sz="4" w:space="0"/>
              <w:left w:val="single" w:color="000000" w:sz="4" w:space="0"/>
              <w:bottom w:val="single" w:color="000000" w:sz="4" w:space="0"/>
            </w:tcBorders>
            <w:shd w:val="clear" w:color="auto" w:fill="auto"/>
            <w:vAlign w:val="top"/>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b/>
                <w:bCs/>
                <w:kern w:val="2"/>
                <w:sz w:val="24"/>
                <w:szCs w:val="24"/>
                <w:lang w:eastAsia="zh-CN"/>
              </w:rPr>
              <w:t>2019</w:t>
            </w:r>
            <w:r>
              <w:rPr>
                <w:rFonts w:hint="default" w:ascii="Times New Roman" w:hAnsi="Times New Roman" w:eastAsia="Times New Roman" w:cs="Times New Roman"/>
                <w:b/>
                <w:bCs/>
                <w:kern w:val="2"/>
                <w:sz w:val="24"/>
                <w:szCs w:val="24"/>
                <w:lang w:val="ru-RU" w:eastAsia="zh-CN"/>
              </w:rPr>
              <w:t xml:space="preserve"> </w:t>
            </w:r>
            <w:r>
              <w:rPr>
                <w:rFonts w:ascii="Times New Roman" w:hAnsi="Times New Roman" w:eastAsia="Times New Roman" w:cs="Times New Roman"/>
                <w:b/>
                <w:bCs/>
                <w:kern w:val="2"/>
                <w:sz w:val="24"/>
                <w:szCs w:val="24"/>
                <w:lang w:eastAsia="zh-CN"/>
              </w:rPr>
              <w:t>год</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suppressAutoHyphens/>
              <w:spacing w:after="0" w:line="240" w:lineRule="auto"/>
              <w:jc w:val="center"/>
              <w:textAlignment w:val="baseline"/>
              <w:rPr>
                <w:rFonts w:ascii="Times New Roman" w:hAnsi="Times New Roman" w:eastAsia="Times New Roman" w:cs="Times New Roman"/>
                <w:b/>
                <w:bCs/>
                <w:kern w:val="2"/>
                <w:sz w:val="24"/>
                <w:szCs w:val="24"/>
                <w:lang w:val="ru-RU" w:eastAsia="zh-CN" w:bidi="ar-SA"/>
              </w:rPr>
            </w:pPr>
            <w:r>
              <w:rPr>
                <w:rFonts w:ascii="Times New Roman" w:hAnsi="Times New Roman" w:eastAsia="Times New Roman" w:cs="Times New Roman"/>
                <w:b/>
                <w:bCs/>
                <w:kern w:val="2"/>
                <w:sz w:val="24"/>
                <w:szCs w:val="24"/>
                <w:lang w:eastAsia="zh-CN"/>
              </w:rPr>
              <w:t>2020 год</w:t>
            </w:r>
          </w:p>
        </w:tc>
        <w:tc>
          <w:tcPr>
            <w:tcW w:w="2187" w:type="dxa"/>
            <w:gridSpan w:val="2"/>
            <w:tcBorders>
              <w:top w:val="single" w:color="000000" w:sz="4" w:space="0"/>
              <w:left w:val="single" w:color="000000" w:sz="4" w:space="0"/>
              <w:bottom w:val="single" w:color="000000" w:sz="4" w:space="0"/>
              <w:right w:val="single" w:color="000000" w:sz="4" w:space="0"/>
            </w:tcBorders>
          </w:tcPr>
          <w:p>
            <w:pPr>
              <w:suppressAutoHyphens/>
              <w:spacing w:after="0" w:line="240" w:lineRule="auto"/>
              <w:jc w:val="center"/>
              <w:textAlignment w:val="baseline"/>
              <w:rPr>
                <w:rFonts w:ascii="Times New Roman" w:hAnsi="Times New Roman" w:eastAsia="Times New Roman" w:cs="Times New Roman"/>
                <w:b/>
                <w:bCs/>
                <w:kern w:val="2"/>
                <w:sz w:val="24"/>
                <w:szCs w:val="24"/>
                <w:lang w:eastAsia="zh-CN"/>
              </w:rPr>
            </w:pPr>
            <w:r>
              <w:rPr>
                <w:rFonts w:ascii="Times New Roman" w:hAnsi="Times New Roman" w:eastAsia="Times New Roman" w:cs="Times New Roman"/>
                <w:b/>
                <w:bCs/>
                <w:kern w:val="2"/>
                <w:sz w:val="24"/>
                <w:szCs w:val="24"/>
                <w:lang w:eastAsia="zh-CN"/>
              </w:rPr>
              <w:t>202</w:t>
            </w:r>
            <w:r>
              <w:rPr>
                <w:rFonts w:hint="default" w:ascii="Times New Roman" w:hAnsi="Times New Roman" w:eastAsia="Times New Roman" w:cs="Times New Roman"/>
                <w:b/>
                <w:bCs/>
                <w:kern w:val="2"/>
                <w:sz w:val="24"/>
                <w:szCs w:val="24"/>
                <w:lang w:val="ru-RU" w:eastAsia="zh-CN"/>
              </w:rPr>
              <w:t>1</w:t>
            </w:r>
            <w:r>
              <w:rPr>
                <w:rFonts w:ascii="Times New Roman" w:hAnsi="Times New Roman" w:eastAsia="Times New Roman" w:cs="Times New Roman"/>
                <w:b/>
                <w:bCs/>
                <w:kern w:val="2"/>
                <w:sz w:val="24"/>
                <w:szCs w:val="24"/>
                <w:lang w:eastAsia="zh-CN"/>
              </w:rPr>
              <w:t xml:space="preserve"> год</w:t>
            </w:r>
          </w:p>
        </w:tc>
      </w:tr>
      <w:tr>
        <w:tblPrEx>
          <w:tblCellMar>
            <w:top w:w="0" w:type="dxa"/>
            <w:left w:w="108" w:type="dxa"/>
            <w:bottom w:w="0" w:type="dxa"/>
            <w:right w:w="108" w:type="dxa"/>
          </w:tblCellMar>
        </w:tblPrEx>
        <w:tc>
          <w:tcPr>
            <w:tcW w:w="3686" w:type="dxa"/>
            <w:vMerge w:val="continue"/>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textAlignment w:val="baseline"/>
              <w:rPr>
                <w:rFonts w:ascii="Times New Roman" w:hAnsi="Times New Roman" w:eastAsia="Times New Roman" w:cs="Times New Roman"/>
                <w:b/>
                <w:kern w:val="2"/>
                <w:sz w:val="24"/>
                <w:szCs w:val="24"/>
                <w:lang w:eastAsia="zh-CN"/>
              </w:rPr>
            </w:pPr>
          </w:p>
        </w:tc>
        <w:tc>
          <w:tcPr>
            <w:tcW w:w="1276"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b/>
                <w:bCs/>
                <w:kern w:val="2"/>
                <w:sz w:val="24"/>
                <w:szCs w:val="24"/>
                <w:lang w:eastAsia="zh-CN"/>
              </w:rPr>
            </w:pPr>
            <w:r>
              <w:rPr>
                <w:rFonts w:ascii="Times New Roman" w:hAnsi="Times New Roman" w:eastAsia="Times New Roman" w:cs="Times New Roman"/>
                <w:b/>
                <w:bCs/>
                <w:kern w:val="2"/>
                <w:sz w:val="24"/>
                <w:szCs w:val="24"/>
                <w:lang w:eastAsia="zh-CN"/>
              </w:rPr>
              <w:t>тыс. рублей</w:t>
            </w:r>
          </w:p>
        </w:tc>
        <w:tc>
          <w:tcPr>
            <w:tcW w:w="708"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b/>
                <w:bCs/>
                <w:kern w:val="2"/>
                <w:sz w:val="24"/>
                <w:szCs w:val="24"/>
                <w:lang w:eastAsia="zh-CN"/>
              </w:rPr>
            </w:pPr>
            <w:r>
              <w:rPr>
                <w:rFonts w:ascii="Times New Roman" w:hAnsi="Times New Roman" w:eastAsia="Times New Roman" w:cs="Times New Roman"/>
                <w:b/>
                <w:bCs/>
                <w:kern w:val="2"/>
                <w:sz w:val="24"/>
                <w:szCs w:val="24"/>
                <w:lang w:eastAsia="zh-CN"/>
              </w:rPr>
              <w:t>%</w:t>
            </w:r>
          </w:p>
        </w:tc>
        <w:tc>
          <w:tcPr>
            <w:tcW w:w="1276"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bCs/>
                <w:kern w:val="2"/>
                <w:sz w:val="24"/>
                <w:szCs w:val="24"/>
                <w:lang w:eastAsia="zh-CN"/>
              </w:rPr>
              <w:t>тыс. рублей</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bCs/>
                <w:kern w:val="2"/>
                <w:sz w:val="24"/>
                <w:szCs w:val="24"/>
                <w:lang w:eastAsia="zh-CN"/>
              </w:rPr>
              <w:t>%</w:t>
            </w:r>
          </w:p>
        </w:tc>
        <w:tc>
          <w:tcPr>
            <w:tcW w:w="1134"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bCs/>
                <w:kern w:val="2"/>
                <w:sz w:val="24"/>
                <w:szCs w:val="24"/>
                <w:lang w:eastAsia="zh-CN"/>
              </w:rPr>
              <w:t>тыс. рублей</w:t>
            </w:r>
          </w:p>
        </w:tc>
        <w:tc>
          <w:tcPr>
            <w:tcW w:w="105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
                <w:bCs/>
                <w:kern w:val="2"/>
                <w:sz w:val="24"/>
                <w:szCs w:val="24"/>
                <w:lang w:eastAsia="zh-CN"/>
              </w:rPr>
              <w:t>%</w:t>
            </w:r>
          </w:p>
        </w:tc>
      </w:tr>
      <w:tr>
        <w:tblPrEx>
          <w:tblCellMar>
            <w:top w:w="0" w:type="dxa"/>
            <w:left w:w="108" w:type="dxa"/>
            <w:bottom w:w="0" w:type="dxa"/>
            <w:right w:w="108" w:type="dxa"/>
          </w:tblCellMar>
        </w:tblPrEx>
        <w:tc>
          <w:tcPr>
            <w:tcW w:w="3686"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Cs/>
                <w:kern w:val="2"/>
                <w:sz w:val="24"/>
                <w:szCs w:val="24"/>
                <w:lang w:eastAsia="zh-CN"/>
              </w:rPr>
              <w:t>Предоставленные налоговые расходы в соответствии с муниципальными правовыми актами представительного органа Белоярского района по налогам и сборам, всего:</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9 464,0</w:t>
            </w:r>
          </w:p>
        </w:tc>
        <w:tc>
          <w:tcPr>
            <w:tcW w:w="708"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100</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6 150,0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105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hint="default" w:ascii="Times New Roman" w:hAnsi="Times New Roman" w:eastAsia="Times New Roman" w:cs="Times New Roman"/>
                <w:kern w:val="2"/>
                <w:sz w:val="24"/>
                <w:szCs w:val="24"/>
                <w:lang w:val="ru-RU" w:eastAsia="zh-CN" w:bidi="ar-SA"/>
              </w:rPr>
            </w:pPr>
            <w:r>
              <w:rPr>
                <w:rFonts w:hint="default" w:ascii="Times New Roman" w:hAnsi="Times New Roman" w:eastAsia="Times New Roman" w:cs="Times New Roman"/>
                <w:kern w:val="2"/>
                <w:sz w:val="24"/>
                <w:szCs w:val="24"/>
                <w:lang w:val="ru-RU" w:eastAsia="zh-CN"/>
              </w:rPr>
              <w:t>0,0</w:t>
            </w:r>
          </w:p>
        </w:tc>
      </w:tr>
      <w:tr>
        <w:tblPrEx>
          <w:tblCellMar>
            <w:top w:w="0" w:type="dxa"/>
            <w:left w:w="108" w:type="dxa"/>
            <w:bottom w:w="0" w:type="dxa"/>
            <w:right w:w="108" w:type="dxa"/>
          </w:tblCellMar>
        </w:tblPrEx>
        <w:tc>
          <w:tcPr>
            <w:tcW w:w="3686"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Cs/>
                <w:kern w:val="2"/>
                <w:sz w:val="24"/>
                <w:szCs w:val="24"/>
                <w:lang w:eastAsia="zh-CN"/>
              </w:rPr>
              <w:t>в том числе:</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90,8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х</w:t>
            </w:r>
          </w:p>
        </w:tc>
        <w:tc>
          <w:tcPr>
            <w:tcW w:w="127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65,0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105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х</w:t>
            </w:r>
          </w:p>
        </w:tc>
      </w:tr>
      <w:tr>
        <w:tblPrEx>
          <w:tblCellMar>
            <w:top w:w="0" w:type="dxa"/>
            <w:left w:w="108" w:type="dxa"/>
            <w:bottom w:w="0" w:type="dxa"/>
            <w:right w:w="108" w:type="dxa"/>
          </w:tblCellMar>
        </w:tblPrEx>
        <w:tc>
          <w:tcPr>
            <w:tcW w:w="3686"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Cs/>
                <w:kern w:val="2"/>
                <w:sz w:val="24"/>
                <w:szCs w:val="24"/>
                <w:lang w:eastAsia="zh-CN"/>
              </w:rPr>
              <w:t>Стимулирующие налоговые расходы</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9 464,0</w:t>
            </w:r>
          </w:p>
        </w:tc>
        <w:tc>
          <w:tcPr>
            <w:tcW w:w="708"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100</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6 150,0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105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hint="default" w:ascii="Times New Roman" w:hAnsi="Times New Roman" w:eastAsia="Times New Roman" w:cs="Times New Roman"/>
                <w:kern w:val="2"/>
                <w:sz w:val="24"/>
                <w:szCs w:val="24"/>
                <w:lang w:val="ru-RU" w:eastAsia="zh-CN" w:bidi="ar-SA"/>
              </w:rPr>
            </w:pPr>
            <w:r>
              <w:rPr>
                <w:rFonts w:hint="default" w:ascii="Times New Roman" w:hAnsi="Times New Roman" w:eastAsia="Times New Roman" w:cs="Times New Roman"/>
                <w:kern w:val="2"/>
                <w:sz w:val="24"/>
                <w:szCs w:val="24"/>
                <w:lang w:val="ru-RU" w:eastAsia="zh-CN"/>
              </w:rPr>
              <w:t>0</w:t>
            </w:r>
          </w:p>
        </w:tc>
      </w:tr>
      <w:tr>
        <w:tblPrEx>
          <w:tblCellMar>
            <w:top w:w="0" w:type="dxa"/>
            <w:left w:w="108" w:type="dxa"/>
            <w:bottom w:w="0" w:type="dxa"/>
            <w:right w:w="108" w:type="dxa"/>
          </w:tblCellMar>
        </w:tblPrEx>
        <w:tc>
          <w:tcPr>
            <w:tcW w:w="3686"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Cs/>
                <w:kern w:val="2"/>
                <w:sz w:val="24"/>
                <w:szCs w:val="24"/>
                <w:lang w:eastAsia="zh-CN"/>
              </w:rPr>
              <w:t>темп роста (снижения) к предыдущему году, %</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90,8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х</w:t>
            </w:r>
          </w:p>
        </w:tc>
        <w:tc>
          <w:tcPr>
            <w:tcW w:w="127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65,0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105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х</w:t>
            </w:r>
          </w:p>
        </w:tc>
      </w:tr>
      <w:tr>
        <w:tblPrEx>
          <w:tblCellMar>
            <w:top w:w="0" w:type="dxa"/>
            <w:left w:w="108" w:type="dxa"/>
            <w:bottom w:w="0" w:type="dxa"/>
            <w:right w:w="108" w:type="dxa"/>
          </w:tblCellMar>
        </w:tblPrEx>
        <w:tc>
          <w:tcPr>
            <w:tcW w:w="3686"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bCs/>
                <w:kern w:val="2"/>
                <w:sz w:val="24"/>
                <w:szCs w:val="24"/>
                <w:lang w:eastAsia="zh-CN"/>
              </w:rPr>
            </w:pPr>
            <w:r>
              <w:rPr>
                <w:rFonts w:ascii="Times New Roman" w:hAnsi="Times New Roman" w:eastAsia="Times New Roman" w:cs="Times New Roman"/>
                <w:bCs/>
                <w:kern w:val="2"/>
                <w:sz w:val="24"/>
                <w:szCs w:val="24"/>
                <w:lang w:eastAsia="zh-CN"/>
              </w:rPr>
              <w:t>Технические налоговые расходы</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708"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х</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05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r>
      <w:tr>
        <w:tblPrEx>
          <w:tblCellMar>
            <w:top w:w="0" w:type="dxa"/>
            <w:left w:w="108" w:type="dxa"/>
            <w:bottom w:w="0" w:type="dxa"/>
            <w:right w:w="108" w:type="dxa"/>
          </w:tblCellMar>
        </w:tblPrEx>
        <w:tc>
          <w:tcPr>
            <w:tcW w:w="3686"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bCs/>
                <w:kern w:val="2"/>
                <w:sz w:val="24"/>
                <w:szCs w:val="24"/>
                <w:lang w:eastAsia="zh-CN"/>
              </w:rPr>
            </w:pPr>
            <w:r>
              <w:rPr>
                <w:rFonts w:ascii="Times New Roman" w:hAnsi="Times New Roman" w:eastAsia="Times New Roman" w:cs="Times New Roman"/>
                <w:bCs/>
                <w:kern w:val="2"/>
                <w:sz w:val="24"/>
                <w:szCs w:val="24"/>
                <w:lang w:eastAsia="zh-CN"/>
              </w:rPr>
              <w:t>темп роста (снижения) к предыдущему году, %</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708"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х</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05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r>
      <w:tr>
        <w:tblPrEx>
          <w:tblCellMar>
            <w:top w:w="0" w:type="dxa"/>
            <w:left w:w="108" w:type="dxa"/>
            <w:bottom w:w="0" w:type="dxa"/>
            <w:right w:w="108" w:type="dxa"/>
          </w:tblCellMar>
        </w:tblPrEx>
        <w:tc>
          <w:tcPr>
            <w:tcW w:w="3686"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Cs/>
                <w:kern w:val="2"/>
                <w:sz w:val="24"/>
                <w:szCs w:val="24"/>
                <w:lang w:eastAsia="zh-CN"/>
              </w:rPr>
              <w:t>Социальные налоговые расходы</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708"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х</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05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r>
      <w:tr>
        <w:tblPrEx>
          <w:tblCellMar>
            <w:top w:w="0" w:type="dxa"/>
            <w:left w:w="108" w:type="dxa"/>
            <w:bottom w:w="0" w:type="dxa"/>
            <w:right w:w="108" w:type="dxa"/>
          </w:tblCellMar>
        </w:tblPrEx>
        <w:tc>
          <w:tcPr>
            <w:tcW w:w="3686" w:type="dxa"/>
            <w:tcBorders>
              <w:top w:val="single" w:color="000000" w:sz="4" w:space="0"/>
              <w:left w:val="single" w:color="000000" w:sz="4" w:space="0"/>
              <w:bottom w:val="single" w:color="000000" w:sz="4" w:space="0"/>
            </w:tcBorders>
            <w:shd w:val="clear" w:color="auto" w:fill="auto"/>
          </w:tcPr>
          <w:p>
            <w:pPr>
              <w:suppressAutoHyphens/>
              <w:spacing w:after="0" w:line="240" w:lineRule="auto"/>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bCs/>
                <w:kern w:val="2"/>
                <w:sz w:val="24"/>
                <w:szCs w:val="24"/>
                <w:lang w:eastAsia="zh-CN"/>
              </w:rPr>
              <w:t>темп роста (снижения) к предыдущему году, %</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708"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х</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val="ru-RU" w:eastAsia="zh-CN" w:bidi="ar-SA"/>
              </w:rPr>
            </w:pPr>
            <w:r>
              <w:rPr>
                <w:rFonts w:ascii="Times New Roman" w:hAnsi="Times New Roman" w:eastAsia="Times New Roman" w:cs="Times New Roman"/>
                <w:kern w:val="2"/>
                <w:sz w:val="24"/>
                <w:szCs w:val="24"/>
                <w:lang w:eastAsia="zh-CN"/>
              </w:rPr>
              <w:t>х</w:t>
            </w:r>
          </w:p>
        </w:tc>
        <w:tc>
          <w:tcPr>
            <w:tcW w:w="113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0,0</w:t>
            </w:r>
          </w:p>
        </w:tc>
        <w:tc>
          <w:tcPr>
            <w:tcW w:w="105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х</w:t>
            </w:r>
          </w:p>
        </w:tc>
      </w:tr>
    </w:tbl>
    <w:p>
      <w:pPr>
        <w:widowControl w:val="0"/>
        <w:tabs>
          <w:tab w:val="left" w:pos="709"/>
          <w:tab w:val="left" w:pos="1890"/>
        </w:tabs>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p>
    <w:p>
      <w:pPr>
        <w:suppressAutoHyphens/>
        <w:spacing w:after="0" w:line="240" w:lineRule="auto"/>
        <w:ind w:firstLine="851"/>
        <w:jc w:val="both"/>
        <w:rPr>
          <w:rFonts w:hint="default" w:ascii="Times New Roman" w:hAnsi="Times New Roman" w:eastAsia="Calibri" w:cs="Times New Roman"/>
          <w:sz w:val="24"/>
          <w:szCs w:val="24"/>
          <w:lang w:val="ru-RU" w:eastAsia="zh-CN"/>
        </w:rPr>
      </w:pPr>
      <w:r>
        <w:rPr>
          <w:rFonts w:ascii="Times New Roman" w:hAnsi="Times New Roman" w:eastAsia="Times New Roman" w:cs="Times New Roman"/>
          <w:kern w:val="2"/>
          <w:sz w:val="24"/>
          <w:szCs w:val="24"/>
          <w:lang w:eastAsia="zh-CN"/>
        </w:rPr>
        <w:t xml:space="preserve">Весь объем налоговых расходов </w:t>
      </w:r>
      <w:r>
        <w:rPr>
          <w:rFonts w:hint="default" w:ascii="Times New Roman" w:hAnsi="Times New Roman" w:eastAsia="Times New Roman" w:cs="Times New Roman"/>
          <w:kern w:val="2"/>
          <w:sz w:val="24"/>
          <w:szCs w:val="24"/>
          <w:lang w:val="ru-RU" w:eastAsia="zh-CN"/>
        </w:rPr>
        <w:t xml:space="preserve"> в 2019 - 2020 году </w:t>
      </w:r>
      <w:r>
        <w:rPr>
          <w:rFonts w:ascii="Times New Roman" w:hAnsi="Times New Roman" w:eastAsia="Times New Roman" w:cs="Times New Roman"/>
          <w:kern w:val="2"/>
          <w:sz w:val="24"/>
          <w:szCs w:val="24"/>
          <w:lang w:eastAsia="zh-CN"/>
        </w:rPr>
        <w:t>приходится на преференции, направленные на стимулирование экономической активности субъектов предпринимательской деятельности.</w:t>
      </w:r>
      <w:r>
        <w:rPr>
          <w:rFonts w:hint="default" w:ascii="Times New Roman" w:hAnsi="Times New Roman" w:eastAsia="Times New Roman" w:cs="Times New Roman"/>
          <w:kern w:val="2"/>
          <w:sz w:val="24"/>
          <w:szCs w:val="24"/>
          <w:lang w:val="ru-RU" w:eastAsia="zh-CN"/>
        </w:rPr>
        <w:t xml:space="preserve"> В 2021 году налоговые льготы не предоставлялись в связи с отсутствием заявителей на льготы по местным налогам, а также отменой с 1 января 2021 года единого налога на вмененный доход.</w:t>
      </w:r>
    </w:p>
    <w:p>
      <w:pPr>
        <w:widowControl w:val="0"/>
        <w:tabs>
          <w:tab w:val="left" w:pos="709"/>
          <w:tab w:val="left" w:pos="1890"/>
        </w:tabs>
        <w:suppressAutoHyphens/>
        <w:spacing w:after="0" w:line="240" w:lineRule="auto"/>
        <w:ind w:firstLine="709"/>
        <w:jc w:val="both"/>
        <w:textAlignment w:val="baseline"/>
        <w:rPr>
          <w:rFonts w:ascii="Times New Roman" w:hAnsi="Times New Roman" w:eastAsia="Times New Roman" w:cs="Times New Roman"/>
          <w:kern w:val="2"/>
          <w:sz w:val="28"/>
          <w:szCs w:val="28"/>
          <w:lang w:eastAsia="zh-CN"/>
        </w:rPr>
      </w:pPr>
    </w:p>
    <w:p>
      <w:pPr>
        <w:widowControl w:val="0"/>
        <w:tabs>
          <w:tab w:val="left" w:pos="426"/>
        </w:tabs>
        <w:suppressAutoHyphens/>
        <w:autoSpaceDE w:val="0"/>
        <w:spacing w:after="0" w:line="240" w:lineRule="auto"/>
        <w:contextualSpacing/>
        <w:jc w:val="center"/>
        <w:textAlignment w:val="baseline"/>
        <w:rPr>
          <w:rFonts w:ascii="Times New Roman" w:hAnsi="Times New Roman" w:eastAsia="Times New Roman" w:cs="Times New Roman"/>
          <w:kern w:val="2"/>
          <w:sz w:val="24"/>
          <w:szCs w:val="24"/>
          <w:lang w:eastAsia="zh-CN"/>
        </w:rPr>
      </w:pPr>
      <w:r>
        <w:rPr>
          <w:rFonts w:ascii="Times New Roman" w:hAnsi="Times New Roman" w:eastAsia="Calibri" w:cs="Times New Roman"/>
          <w:b/>
          <w:bCs/>
          <w:kern w:val="2"/>
          <w:sz w:val="24"/>
          <w:szCs w:val="24"/>
        </w:rPr>
        <w:t>1. Эффективность налоговых расходов по земельному налогу</w:t>
      </w:r>
    </w:p>
    <w:p>
      <w:pPr>
        <w:widowControl w:val="0"/>
        <w:tabs>
          <w:tab w:val="left" w:pos="426"/>
        </w:tabs>
        <w:suppressAutoHyphens/>
        <w:autoSpaceDE w:val="0"/>
        <w:spacing w:after="0" w:line="240" w:lineRule="auto"/>
        <w:contextualSpacing/>
        <w:jc w:val="center"/>
        <w:textAlignment w:val="baseline"/>
        <w:rPr>
          <w:rFonts w:ascii="Times New Roman" w:hAnsi="Times New Roman" w:eastAsia="Calibri" w:cs="Times New Roman"/>
          <w:b/>
          <w:bCs/>
          <w:kern w:val="2"/>
          <w:sz w:val="28"/>
          <w:szCs w:val="28"/>
        </w:rPr>
      </w:pPr>
    </w:p>
    <w:p>
      <w:pPr>
        <w:widowControl w:val="0"/>
        <w:tabs>
          <w:tab w:val="left" w:pos="426"/>
        </w:tabs>
        <w:suppressAutoHyphens/>
        <w:autoSpaceDE w:val="0"/>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 соответствии с решением Думы Белоярского района от 22.10.2010 года № 84 «О земельном налоге на межселенной территории Белоярского района» налоговые расходы представлены в виде налоговых льгот для отдельных категорий физических и юридических лиц.</w:t>
      </w:r>
    </w:p>
    <w:p>
      <w:pPr>
        <w:widowControl w:val="0"/>
        <w:suppressAutoHyphens/>
        <w:spacing w:after="0" w:line="240" w:lineRule="auto"/>
        <w:ind w:firstLine="709"/>
        <w:jc w:val="both"/>
        <w:textAlignment w:val="baseline"/>
        <w:rPr>
          <w:rFonts w:hint="default" w:ascii="Times New Roman" w:hAnsi="Times New Roman" w:eastAsia="Times New Roman" w:cs="Times New Roman"/>
          <w:kern w:val="2"/>
          <w:sz w:val="24"/>
          <w:szCs w:val="24"/>
          <w:lang w:val="ru-RU" w:eastAsia="zh-CN"/>
        </w:rPr>
      </w:pPr>
      <w:r>
        <w:rPr>
          <w:rFonts w:ascii="Times New Roman" w:hAnsi="Times New Roman" w:eastAsia="Times New Roman" w:cs="Times New Roman"/>
          <w:kern w:val="2"/>
          <w:sz w:val="24"/>
          <w:szCs w:val="24"/>
          <w:lang w:eastAsia="zh-CN"/>
        </w:rPr>
        <w:t xml:space="preserve">Оценка эффективности проведена кураторами налоговых расходов по </w:t>
      </w:r>
      <w:r>
        <w:rPr>
          <w:rFonts w:hint="default" w:ascii="Times New Roman" w:hAnsi="Times New Roman" w:eastAsia="Times New Roman" w:cs="Times New Roman"/>
          <w:kern w:val="2"/>
          <w:sz w:val="24"/>
          <w:szCs w:val="24"/>
          <w:lang w:val="ru-RU" w:eastAsia="zh-CN"/>
        </w:rPr>
        <w:t>6 видам</w:t>
      </w:r>
      <w:r>
        <w:rPr>
          <w:rFonts w:ascii="Times New Roman" w:hAnsi="Times New Roman" w:eastAsia="Times New Roman" w:cs="Times New Roman"/>
          <w:kern w:val="2"/>
          <w:sz w:val="24"/>
          <w:szCs w:val="24"/>
          <w:lang w:eastAsia="zh-CN"/>
        </w:rPr>
        <w:t xml:space="preserve"> налоговым расходам (</w:t>
      </w:r>
      <w:r>
        <w:rPr>
          <w:rFonts w:hint="default" w:ascii="Times New Roman" w:hAnsi="Times New Roman" w:eastAsia="Times New Roman" w:cs="Times New Roman"/>
          <w:kern w:val="2"/>
          <w:sz w:val="24"/>
          <w:szCs w:val="24"/>
          <w:lang w:val="ru-RU" w:eastAsia="zh-CN"/>
        </w:rPr>
        <w:t>2</w:t>
      </w:r>
      <w:r>
        <w:rPr>
          <w:rFonts w:ascii="Times New Roman" w:hAnsi="Times New Roman" w:eastAsia="Times New Roman" w:cs="Times New Roman"/>
          <w:kern w:val="2"/>
          <w:sz w:val="24"/>
          <w:szCs w:val="24"/>
          <w:lang w:eastAsia="zh-CN"/>
        </w:rPr>
        <w:t xml:space="preserve"> стимулирующ</w:t>
      </w:r>
      <w:r>
        <w:rPr>
          <w:rFonts w:ascii="Times New Roman" w:hAnsi="Times New Roman" w:eastAsia="Times New Roman" w:cs="Times New Roman"/>
          <w:kern w:val="2"/>
          <w:sz w:val="24"/>
          <w:szCs w:val="24"/>
          <w:lang w:val="ru-RU" w:eastAsia="zh-CN"/>
        </w:rPr>
        <w:t>им</w:t>
      </w:r>
      <w:r>
        <w:rPr>
          <w:rFonts w:ascii="Times New Roman" w:hAnsi="Times New Roman" w:eastAsia="Times New Roman" w:cs="Times New Roman"/>
          <w:kern w:val="2"/>
          <w:sz w:val="24"/>
          <w:szCs w:val="24"/>
          <w:lang w:eastAsia="zh-CN"/>
        </w:rPr>
        <w:t>, 2 техническим и 2 социальным), распределенным по 4 муниципальным программам</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в соответствии с показателями достижения целей</w:t>
      </w:r>
      <w:r>
        <w:rPr>
          <w:rFonts w:hint="default" w:ascii="Times New Roman" w:hAnsi="Times New Roman" w:eastAsia="Times New Roman" w:cs="Times New Roman"/>
          <w:kern w:val="2"/>
          <w:sz w:val="24"/>
          <w:szCs w:val="24"/>
          <w:lang w:val="ru-RU" w:eastAsia="zh-CN"/>
        </w:rPr>
        <w:t xml:space="preserve"> и одному виду непрограмных налоговых расходов, отвечающему целям социально-экономического развития Белоярского района (таблица 1 приложения 1 к аналитической справке).</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p>
    <w:p>
      <w:pPr>
        <w:widowControl w:val="0"/>
        <w:numPr>
          <w:ilvl w:val="0"/>
          <w:numId w:val="1"/>
        </w:numPr>
        <w:tabs>
          <w:tab w:val="left" w:pos="1276"/>
        </w:tabs>
        <w:suppressAutoHyphens/>
        <w:spacing w:after="0" w:line="240" w:lineRule="auto"/>
        <w:ind w:firstLine="709"/>
        <w:contextualSpacing/>
        <w:jc w:val="both"/>
        <w:textAlignment w:val="baseline"/>
        <w:rPr>
          <w:rFonts w:hint="default" w:ascii="Times New Roman" w:hAnsi="Times New Roman" w:eastAsia="Times New Roman" w:cs="Times New Roman"/>
          <w:kern w:val="2"/>
          <w:sz w:val="24"/>
          <w:szCs w:val="24"/>
          <w:lang w:val="ru-RU" w:eastAsia="zh-CN"/>
        </w:rPr>
      </w:pPr>
      <w:r>
        <w:rPr>
          <w:rFonts w:ascii="Times New Roman" w:hAnsi="Times New Roman" w:eastAsia="Times New Roman" w:cs="Times New Roman"/>
          <w:i/>
          <w:kern w:val="2"/>
          <w:sz w:val="24"/>
          <w:szCs w:val="24"/>
          <w:lang w:eastAsia="zh-CN"/>
        </w:rPr>
        <w:t>В муниципальную программу Белоярского района «Управление муниципальными финансами в Белоярском районе»,</w:t>
      </w:r>
      <w:r>
        <w:rPr>
          <w:rFonts w:ascii="Times New Roman" w:hAnsi="Times New Roman" w:eastAsia="Times New Roman" w:cs="Times New Roman"/>
          <w:kern w:val="2"/>
          <w:sz w:val="24"/>
          <w:szCs w:val="24"/>
          <w:lang w:eastAsia="zh-CN"/>
        </w:rPr>
        <w:t xml:space="preserve"> ответственным исполнителем которой является Комитет по финансам и налоговой политике администрации Белоярского района включены 2 технических налоговых расхода, которые соответствуют цели муниципальной программы: «Повышение качества управления муниципальными финансами, обеспечение финансовой устойчивости и долгосрочной сбалансированности бюджетной системы Белоярского района»</w:t>
      </w:r>
      <w:r>
        <w:rPr>
          <w:rFonts w:hint="default" w:ascii="Times New Roman" w:hAnsi="Times New Roman" w:eastAsia="Times New Roman" w:cs="Times New Roman"/>
          <w:kern w:val="2"/>
          <w:sz w:val="24"/>
          <w:szCs w:val="24"/>
          <w:lang w:val="ru-RU" w:eastAsia="zh-CN"/>
        </w:rPr>
        <w:t>, в том числе:</w:t>
      </w:r>
    </w:p>
    <w:p>
      <w:pPr>
        <w:widowControl w:val="0"/>
        <w:numPr>
          <w:ilvl w:val="0"/>
          <w:numId w:val="0"/>
        </w:numPr>
        <w:tabs>
          <w:tab w:val="left" w:pos="1276"/>
        </w:tabs>
        <w:suppressAutoHyphens/>
        <w:spacing w:after="0" w:line="240" w:lineRule="auto"/>
        <w:ind w:left="0" w:leftChars="0" w:firstLine="660" w:firstLineChars="275"/>
        <w:contextualSpacing/>
        <w:jc w:val="both"/>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 освобождение от уплаты земельного налога органов местного самоуправления;</w:t>
      </w:r>
    </w:p>
    <w:p>
      <w:pPr>
        <w:widowControl w:val="0"/>
        <w:numPr>
          <w:ilvl w:val="0"/>
          <w:numId w:val="0"/>
        </w:numPr>
        <w:tabs>
          <w:tab w:val="left" w:pos="1276"/>
        </w:tabs>
        <w:suppressAutoHyphens/>
        <w:spacing w:after="0" w:line="240" w:lineRule="auto"/>
        <w:ind w:left="0" w:leftChars="0" w:firstLine="660" w:firstLineChars="275"/>
        <w:contextualSpacing/>
        <w:jc w:val="both"/>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 освобождение от уплаты земельного налога муниципальных учреждений Белоярского района.</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highlight w:val="none"/>
          <w:lang w:eastAsia="zh-CN"/>
        </w:rPr>
      </w:pPr>
      <w:r>
        <w:rPr>
          <w:rFonts w:ascii="Times New Roman" w:hAnsi="Times New Roman" w:eastAsia="Times New Roman" w:cs="Times New Roman"/>
          <w:kern w:val="2"/>
          <w:sz w:val="24"/>
          <w:szCs w:val="24"/>
          <w:lang w:eastAsia="zh-CN"/>
        </w:rPr>
        <w:t xml:space="preserve">Налоговые расходы за 5-летний период не были востребованы плательщиками. В тоже время потенциальными получателями налоговых льгот, установленных для органов местного самоуправления и муниципальных учреждений Белоярского района являются </w:t>
      </w:r>
      <w:r>
        <w:rPr>
          <w:rFonts w:hint="default" w:ascii="Times New Roman" w:hAnsi="Times New Roman" w:eastAsia="Times New Roman" w:cs="Times New Roman"/>
          <w:kern w:val="2"/>
          <w:sz w:val="24"/>
          <w:szCs w:val="24"/>
          <w:lang w:val="ru-RU" w:eastAsia="zh-CN"/>
        </w:rPr>
        <w:t xml:space="preserve">                                    </w:t>
      </w:r>
      <w:r>
        <w:rPr>
          <w:rFonts w:hint="default" w:ascii="Times New Roman" w:hAnsi="Times New Roman" w:eastAsia="Times New Roman" w:cs="Times New Roman"/>
          <w:kern w:val="2"/>
          <w:sz w:val="24"/>
          <w:szCs w:val="24"/>
          <w:highlight w:val="none"/>
          <w:lang w:val="ru-RU" w:eastAsia="zh-CN"/>
        </w:rPr>
        <w:t>33</w:t>
      </w:r>
      <w:r>
        <w:rPr>
          <w:rFonts w:ascii="Times New Roman" w:hAnsi="Times New Roman" w:eastAsia="Times New Roman" w:cs="Times New Roman"/>
          <w:kern w:val="2"/>
          <w:sz w:val="24"/>
          <w:szCs w:val="24"/>
          <w:highlight w:val="none"/>
          <w:lang w:eastAsia="zh-CN"/>
        </w:rPr>
        <w:t xml:space="preserve"> налогоплательщик</w:t>
      </w:r>
      <w:r>
        <w:rPr>
          <w:rFonts w:ascii="Times New Roman" w:hAnsi="Times New Roman" w:eastAsia="Times New Roman" w:cs="Times New Roman"/>
          <w:kern w:val="2"/>
          <w:sz w:val="24"/>
          <w:szCs w:val="24"/>
          <w:highlight w:val="none"/>
          <w:lang w:val="ru-RU" w:eastAsia="zh-CN"/>
        </w:rPr>
        <w:t>а</w:t>
      </w:r>
      <w:r>
        <w:rPr>
          <w:rFonts w:ascii="Times New Roman" w:hAnsi="Times New Roman" w:eastAsia="Times New Roman" w:cs="Times New Roman"/>
          <w:kern w:val="2"/>
          <w:sz w:val="24"/>
          <w:szCs w:val="24"/>
          <w:highlight w:val="none"/>
          <w:lang w:eastAsia="zh-CN"/>
        </w:rPr>
        <w:t>.</w:t>
      </w:r>
    </w:p>
    <w:p>
      <w:pPr>
        <w:widowControl w:val="0"/>
        <w:tabs>
          <w:tab w:val="left" w:pos="1276"/>
        </w:tabs>
        <w:suppressAutoHyphens/>
        <w:spacing w:after="0" w:line="240" w:lineRule="auto"/>
        <w:ind w:firstLine="709"/>
        <w:contextualSpacing/>
        <w:jc w:val="both"/>
        <w:textAlignment w:val="baseline"/>
        <w:rPr>
          <w:rFonts w:hint="default" w:ascii="Times New Roman" w:hAnsi="Times New Roman" w:eastAsia="Times New Roman" w:cs="Times New Roman"/>
          <w:kern w:val="2"/>
          <w:sz w:val="24"/>
          <w:szCs w:val="24"/>
          <w:lang w:val="ru-RU" w:eastAsia="zh-CN"/>
        </w:rPr>
      </w:pPr>
      <w:r>
        <w:rPr>
          <w:rFonts w:ascii="Times New Roman" w:hAnsi="Times New Roman" w:eastAsia="Times New Roman" w:cs="Times New Roman"/>
          <w:kern w:val="2"/>
          <w:sz w:val="24"/>
          <w:szCs w:val="24"/>
          <w:lang w:eastAsia="zh-CN"/>
        </w:rPr>
        <w:t>Куратор</w:t>
      </w:r>
      <w:r>
        <w:rPr>
          <w:rFonts w:ascii="Times New Roman" w:hAnsi="Times New Roman" w:eastAsia="Times New Roman" w:cs="Times New Roman"/>
          <w:kern w:val="2"/>
          <w:sz w:val="24"/>
          <w:szCs w:val="24"/>
          <w:lang w:val="ru-RU" w:eastAsia="zh-CN"/>
        </w:rPr>
        <w:t>о</w:t>
      </w:r>
      <w:r>
        <w:rPr>
          <w:rFonts w:ascii="Times New Roman" w:hAnsi="Times New Roman" w:eastAsia="Times New Roman" w:cs="Times New Roman"/>
          <w:kern w:val="2"/>
          <w:sz w:val="24"/>
          <w:szCs w:val="24"/>
          <w:lang w:eastAsia="zh-CN"/>
        </w:rPr>
        <w:t>м налоговых расходов</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Комитет</w:t>
      </w:r>
      <w:r>
        <w:rPr>
          <w:rFonts w:ascii="Times New Roman" w:hAnsi="Times New Roman" w:eastAsia="Times New Roman" w:cs="Times New Roman"/>
          <w:kern w:val="2"/>
          <w:sz w:val="24"/>
          <w:szCs w:val="24"/>
          <w:lang w:val="ru-RU" w:eastAsia="zh-CN"/>
        </w:rPr>
        <w:t>ом</w:t>
      </w:r>
      <w:r>
        <w:rPr>
          <w:rFonts w:ascii="Times New Roman" w:hAnsi="Times New Roman" w:eastAsia="Times New Roman" w:cs="Times New Roman"/>
          <w:kern w:val="2"/>
          <w:sz w:val="24"/>
          <w:szCs w:val="24"/>
          <w:lang w:eastAsia="zh-CN"/>
        </w:rPr>
        <w:t xml:space="preserve"> по финансам и налоговой политике администрации Белоярского района</w:t>
      </w:r>
      <w:r>
        <w:rPr>
          <w:rFonts w:hint="default" w:ascii="Times New Roman" w:hAnsi="Times New Roman" w:eastAsia="Times New Roman" w:cs="Times New Roman"/>
          <w:kern w:val="2"/>
          <w:sz w:val="24"/>
          <w:szCs w:val="24"/>
          <w:lang w:val="ru-RU" w:eastAsia="zh-CN"/>
        </w:rPr>
        <w:t>)</w:t>
      </w:r>
      <w:r>
        <w:rPr>
          <w:rFonts w:ascii="Times New Roman" w:hAnsi="Times New Roman" w:eastAsia="Times New Roman" w:cs="Times New Roman"/>
          <w:kern w:val="2"/>
          <w:sz w:val="24"/>
          <w:szCs w:val="24"/>
          <w:lang w:eastAsia="zh-CN"/>
        </w:rPr>
        <w:t xml:space="preserve"> предложено сохранить льготы</w:t>
      </w:r>
      <w:r>
        <w:rPr>
          <w:rFonts w:hint="default" w:ascii="Times New Roman" w:hAnsi="Times New Roman" w:eastAsia="Times New Roman" w:cs="Times New Roman"/>
          <w:kern w:val="2"/>
          <w:sz w:val="24"/>
          <w:szCs w:val="24"/>
          <w:lang w:val="ru-RU" w:eastAsia="zh-CN"/>
        </w:rPr>
        <w:t>, так как они направлены на исключение встречных финансовых потоков , оптимизацию бюджетных расходов.</w:t>
      </w:r>
    </w:p>
    <w:p>
      <w:pPr>
        <w:widowControl w:val="0"/>
        <w:tabs>
          <w:tab w:val="left" w:pos="1276"/>
        </w:tabs>
        <w:suppressAutoHyphens/>
        <w:spacing w:after="0" w:line="240" w:lineRule="auto"/>
        <w:ind w:firstLine="709"/>
        <w:contextualSpacing/>
        <w:jc w:val="both"/>
        <w:textAlignment w:val="baseline"/>
        <w:rPr>
          <w:rFonts w:hint="default" w:ascii="Times New Roman" w:hAnsi="Times New Roman" w:eastAsia="Times New Roman" w:cs="Times New Roman"/>
          <w:kern w:val="2"/>
          <w:sz w:val="24"/>
          <w:szCs w:val="24"/>
          <w:lang w:val="ru-RU" w:eastAsia="zh-CN"/>
        </w:rPr>
      </w:pP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i/>
          <w:kern w:val="2"/>
          <w:sz w:val="24"/>
          <w:szCs w:val="24"/>
          <w:lang w:eastAsia="zh-CN"/>
        </w:rPr>
        <w:t xml:space="preserve">2. В муниципальную программу Белоярского района «Развитие социальной политики на территории Белоярского района», </w:t>
      </w:r>
      <w:r>
        <w:rPr>
          <w:rFonts w:ascii="Times New Roman" w:hAnsi="Times New Roman" w:eastAsia="Times New Roman" w:cs="Times New Roman"/>
          <w:kern w:val="2"/>
          <w:sz w:val="24"/>
          <w:szCs w:val="24"/>
          <w:lang w:eastAsia="zh-CN"/>
        </w:rPr>
        <w:t xml:space="preserve">ответственным исполнителем которой является Управление по охране труда и социальной политики администрации Белоярского района включены 2 социальных налоговых расхода, которые соответствуют целям муниципальной программы, в том числе: </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«Социальная поддержка отдельных категорий граждан, повышение качества жизни жителей Белоярского района»;</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«Создание условий для развития институтов гражданского общества и реализация гражданских инициатив».</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Налоговые </w:t>
      </w:r>
      <w:r>
        <w:rPr>
          <w:rFonts w:ascii="Times New Roman" w:hAnsi="Times New Roman" w:eastAsia="Times New Roman" w:cs="Times New Roman"/>
          <w:kern w:val="2"/>
          <w:sz w:val="24"/>
          <w:szCs w:val="24"/>
          <w:lang w:val="ru-RU" w:eastAsia="zh-CN"/>
        </w:rPr>
        <w:t>льготы</w:t>
      </w:r>
      <w:r>
        <w:rPr>
          <w:rFonts w:hint="default" w:ascii="Times New Roman" w:hAnsi="Times New Roman" w:eastAsia="Times New Roman" w:cs="Times New Roman"/>
          <w:kern w:val="2"/>
          <w:sz w:val="24"/>
          <w:szCs w:val="24"/>
          <w:lang w:val="ru-RU" w:eastAsia="zh-CN"/>
        </w:rPr>
        <w:t xml:space="preserve"> не были востребованы </w:t>
      </w:r>
      <w:r>
        <w:rPr>
          <w:rFonts w:ascii="Times New Roman" w:hAnsi="Times New Roman" w:eastAsia="Times New Roman" w:cs="Times New Roman"/>
          <w:kern w:val="2"/>
          <w:sz w:val="24"/>
          <w:szCs w:val="24"/>
          <w:lang w:eastAsia="zh-CN"/>
        </w:rPr>
        <w:t>социально ориентированными некоммерческими организациями</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ветеранами и инвалидами Великой Отечественной войны</w:t>
      </w:r>
      <w:r>
        <w:rPr>
          <w:rFonts w:hint="default" w:ascii="Times New Roman" w:hAnsi="Times New Roman" w:eastAsia="Times New Roman" w:cs="Times New Roman"/>
          <w:kern w:val="2"/>
          <w:sz w:val="24"/>
          <w:szCs w:val="24"/>
          <w:lang w:val="ru-RU" w:eastAsia="zh-CN"/>
        </w:rPr>
        <w:t xml:space="preserve"> более чем за </w:t>
      </w:r>
      <w:r>
        <w:rPr>
          <w:rFonts w:ascii="Times New Roman" w:hAnsi="Times New Roman" w:eastAsia="Times New Roman" w:cs="Times New Roman"/>
          <w:kern w:val="2"/>
          <w:sz w:val="24"/>
          <w:szCs w:val="24"/>
          <w:lang w:eastAsia="zh-CN"/>
        </w:rPr>
        <w:t>5-летний период.</w:t>
      </w:r>
      <w:r>
        <w:rPr>
          <w:rFonts w:hint="default" w:ascii="Times New Roman" w:hAnsi="Times New Roman" w:eastAsia="Times New Roman" w:cs="Times New Roman"/>
          <w:kern w:val="2"/>
          <w:sz w:val="24"/>
          <w:szCs w:val="24"/>
          <w:lang w:val="ru-RU" w:eastAsia="zh-CN"/>
        </w:rPr>
        <w:t xml:space="preserve"> У</w:t>
      </w:r>
      <w:r>
        <w:rPr>
          <w:rFonts w:ascii="Times New Roman" w:hAnsi="Times New Roman" w:eastAsia="Times New Roman" w:cs="Times New Roman"/>
          <w:kern w:val="2"/>
          <w:sz w:val="24"/>
          <w:szCs w:val="24"/>
          <w:lang w:eastAsia="zh-CN"/>
        </w:rPr>
        <w:t>читывая необходимость развития некоммерческого сектора экономики, предоставляющего, в том числе услуги социального характера, институтов гражданского общества, использования потенциала социально ориентированных некоммерческих организаций</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поддержку социально-незащищенных слоев населения, куратором налоговых расходов</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Управление</w:t>
      </w:r>
      <w:r>
        <w:rPr>
          <w:rFonts w:ascii="Times New Roman" w:hAnsi="Times New Roman" w:eastAsia="Times New Roman" w:cs="Times New Roman"/>
          <w:kern w:val="2"/>
          <w:sz w:val="24"/>
          <w:szCs w:val="24"/>
          <w:lang w:val="ru-RU" w:eastAsia="zh-CN"/>
        </w:rPr>
        <w:t>м</w:t>
      </w:r>
      <w:r>
        <w:rPr>
          <w:rFonts w:ascii="Times New Roman" w:hAnsi="Times New Roman" w:eastAsia="Times New Roman" w:cs="Times New Roman"/>
          <w:kern w:val="2"/>
          <w:sz w:val="24"/>
          <w:szCs w:val="24"/>
          <w:lang w:eastAsia="zh-CN"/>
        </w:rPr>
        <w:t xml:space="preserve"> по охране труда и социальной политики администрации Белоярского района</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 xml:space="preserve"> предлагается сохранить</w:t>
      </w:r>
      <w:r>
        <w:rPr>
          <w:rFonts w:hint="default" w:ascii="Times New Roman" w:hAnsi="Times New Roman" w:eastAsia="Times New Roman" w:cs="Times New Roman"/>
          <w:kern w:val="2"/>
          <w:sz w:val="24"/>
          <w:szCs w:val="24"/>
          <w:lang w:val="ru-RU" w:eastAsia="zh-CN"/>
        </w:rPr>
        <w:t xml:space="preserve"> данные </w:t>
      </w:r>
      <w:r>
        <w:rPr>
          <w:rFonts w:ascii="Times New Roman" w:hAnsi="Times New Roman" w:eastAsia="Times New Roman" w:cs="Times New Roman"/>
          <w:kern w:val="2"/>
          <w:sz w:val="24"/>
          <w:szCs w:val="24"/>
          <w:lang w:eastAsia="zh-CN"/>
        </w:rPr>
        <w:t xml:space="preserve"> налоговые расходы.</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i/>
          <w:kern w:val="2"/>
          <w:sz w:val="24"/>
          <w:szCs w:val="24"/>
          <w:lang w:eastAsia="zh-CN"/>
        </w:rPr>
        <w:t xml:space="preserve">3. В муниципальную программу Белоярского района «Обеспечение доступным и комфортным жильем жителей Белоярского района», </w:t>
      </w:r>
      <w:r>
        <w:rPr>
          <w:rFonts w:ascii="Times New Roman" w:hAnsi="Times New Roman" w:eastAsia="Times New Roman" w:cs="Times New Roman"/>
          <w:kern w:val="2"/>
          <w:sz w:val="24"/>
          <w:szCs w:val="24"/>
          <w:lang w:eastAsia="zh-CN"/>
        </w:rPr>
        <w:t>ответственным исполнителем которой является Управление по архитектуре и градостроительству администрации Белоярского района, включен 1</w:t>
      </w:r>
      <w:r>
        <w:rPr>
          <w:rFonts w:hint="default" w:ascii="Times New Roman" w:hAnsi="Times New Roman" w:eastAsia="Times New Roman" w:cs="Times New Roman"/>
          <w:kern w:val="2"/>
          <w:sz w:val="24"/>
          <w:szCs w:val="24"/>
          <w:lang w:val="ru-RU" w:eastAsia="zh-CN"/>
        </w:rPr>
        <w:t xml:space="preserve"> вид</w:t>
      </w:r>
      <w:r>
        <w:rPr>
          <w:rFonts w:ascii="Times New Roman" w:hAnsi="Times New Roman" w:eastAsia="Times New Roman" w:cs="Times New Roman"/>
          <w:kern w:val="2"/>
          <w:sz w:val="24"/>
          <w:szCs w:val="24"/>
          <w:lang w:eastAsia="zh-CN"/>
        </w:rPr>
        <w:t xml:space="preserve"> налогов</w:t>
      </w:r>
      <w:r>
        <w:rPr>
          <w:rFonts w:ascii="Times New Roman" w:hAnsi="Times New Roman" w:eastAsia="Times New Roman" w:cs="Times New Roman"/>
          <w:kern w:val="2"/>
          <w:sz w:val="24"/>
          <w:szCs w:val="24"/>
          <w:lang w:val="ru-RU" w:eastAsia="zh-CN"/>
        </w:rPr>
        <w:t>ого</w:t>
      </w:r>
      <w:r>
        <w:rPr>
          <w:rFonts w:ascii="Times New Roman" w:hAnsi="Times New Roman" w:eastAsia="Times New Roman" w:cs="Times New Roman"/>
          <w:kern w:val="2"/>
          <w:sz w:val="24"/>
          <w:szCs w:val="24"/>
          <w:lang w:eastAsia="zh-CN"/>
        </w:rPr>
        <w:t xml:space="preserve"> расход</w:t>
      </w:r>
      <w:r>
        <w:rPr>
          <w:rFonts w:ascii="Times New Roman" w:hAnsi="Times New Roman" w:eastAsia="Times New Roman" w:cs="Times New Roman"/>
          <w:kern w:val="2"/>
          <w:sz w:val="24"/>
          <w:szCs w:val="24"/>
          <w:lang w:val="ru-RU" w:eastAsia="zh-CN"/>
        </w:rPr>
        <w:t>а</w:t>
      </w:r>
      <w:r>
        <w:rPr>
          <w:rFonts w:ascii="Times New Roman" w:hAnsi="Times New Roman" w:eastAsia="Times New Roman" w:cs="Times New Roman"/>
          <w:kern w:val="2"/>
          <w:sz w:val="24"/>
          <w:szCs w:val="24"/>
          <w:lang w:eastAsia="zh-CN"/>
        </w:rPr>
        <w:t xml:space="preserve"> стимулирующего характера «Освобождение от уплаты налога организаций и индивидуальных предпринимателей, в отношении земельных участков, используемых для реализации инвестиционных проектов на межселенной территории Белоярского района, включенных в Реестр приоритетных инвестиционных проектов Ханты-Мансийского автономного округа - Югры, на плановый срок реализации инвестиционного проекта».</w:t>
      </w:r>
    </w:p>
    <w:p>
      <w:pPr>
        <w:widowControl w:val="0"/>
        <w:tabs>
          <w:tab w:val="left" w:pos="1276"/>
        </w:tabs>
        <w:suppressAutoHyphens/>
        <w:spacing w:after="0" w:line="240" w:lineRule="auto"/>
        <w:ind w:firstLine="709"/>
        <w:contextualSpacing/>
        <w:jc w:val="both"/>
        <w:textAlignment w:val="baseline"/>
        <w:rPr>
          <w:rFonts w:hint="default" w:ascii="Times New Roman" w:hAnsi="Times New Roman" w:eastAsia="Times New Roman" w:cs="Times New Roman"/>
          <w:kern w:val="2"/>
          <w:sz w:val="24"/>
          <w:szCs w:val="24"/>
          <w:lang w:val="ru-RU" w:eastAsia="zh-CN"/>
        </w:rPr>
      </w:pPr>
      <w:r>
        <w:rPr>
          <w:rFonts w:ascii="Times New Roman" w:hAnsi="Times New Roman" w:eastAsia="Times New Roman" w:cs="Times New Roman"/>
          <w:kern w:val="2"/>
          <w:sz w:val="24"/>
          <w:szCs w:val="24"/>
          <w:lang w:eastAsia="zh-CN"/>
        </w:rPr>
        <w:t>Данный налоговый расход  соответствует цели муниципальной программы: «Создание на территории Белоярского района благоприятного инвестиционного климата, развития конкуренции». Вступил в силу с 1 января 2021 года</w:t>
      </w:r>
      <w:r>
        <w:rPr>
          <w:rFonts w:hint="default" w:ascii="Times New Roman" w:hAnsi="Times New Roman" w:eastAsia="Times New Roman" w:cs="Times New Roman"/>
          <w:kern w:val="2"/>
          <w:sz w:val="24"/>
          <w:szCs w:val="24"/>
          <w:lang w:val="ru-RU" w:eastAsia="zh-CN"/>
        </w:rPr>
        <w:t xml:space="preserve">, в отчетном году не был востребован в виду отсутствия заявителей. С целью создания благоприятного инвестиционного климата на территории Белоярского района куратором предлагается сохранить налоговый расход. </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i/>
          <w:kern w:val="2"/>
          <w:sz w:val="24"/>
          <w:szCs w:val="24"/>
          <w:lang w:eastAsia="zh-CN"/>
        </w:rPr>
        <w:t xml:space="preserve">4. В муниципальную программу Белоярского района «Развитие агропромышленного комплекса на 2019 – 2024 годы», </w:t>
      </w:r>
      <w:r>
        <w:rPr>
          <w:rFonts w:ascii="Times New Roman" w:hAnsi="Times New Roman" w:eastAsia="Times New Roman" w:cs="Times New Roman"/>
          <w:kern w:val="2"/>
          <w:sz w:val="24"/>
          <w:szCs w:val="24"/>
          <w:lang w:eastAsia="zh-CN"/>
        </w:rPr>
        <w:t xml:space="preserve">ответственным исполнителем которой является Управление природопользования, сельского хозяйства и развития предпринимательства администрации Белоярского района, включен 1 </w:t>
      </w:r>
      <w:r>
        <w:rPr>
          <w:rFonts w:ascii="Times New Roman" w:hAnsi="Times New Roman" w:eastAsia="Times New Roman" w:cs="Times New Roman"/>
          <w:kern w:val="2"/>
          <w:sz w:val="24"/>
          <w:szCs w:val="24"/>
          <w:lang w:val="ru-RU" w:eastAsia="zh-CN"/>
        </w:rPr>
        <w:t>вид</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налогов</w:t>
      </w:r>
      <w:r>
        <w:rPr>
          <w:rFonts w:ascii="Times New Roman" w:hAnsi="Times New Roman" w:eastAsia="Times New Roman" w:cs="Times New Roman"/>
          <w:kern w:val="2"/>
          <w:sz w:val="24"/>
          <w:szCs w:val="24"/>
          <w:lang w:val="ru-RU" w:eastAsia="zh-CN"/>
        </w:rPr>
        <w:t>ого</w:t>
      </w:r>
      <w:r>
        <w:rPr>
          <w:rFonts w:ascii="Times New Roman" w:hAnsi="Times New Roman" w:eastAsia="Times New Roman" w:cs="Times New Roman"/>
          <w:kern w:val="2"/>
          <w:sz w:val="24"/>
          <w:szCs w:val="24"/>
          <w:lang w:eastAsia="zh-CN"/>
        </w:rPr>
        <w:t xml:space="preserve"> расход</w:t>
      </w:r>
      <w:r>
        <w:rPr>
          <w:rFonts w:ascii="Times New Roman" w:hAnsi="Times New Roman" w:eastAsia="Times New Roman" w:cs="Times New Roman"/>
          <w:kern w:val="2"/>
          <w:sz w:val="24"/>
          <w:szCs w:val="24"/>
          <w:lang w:val="ru-RU" w:eastAsia="zh-CN"/>
        </w:rPr>
        <w:t>а</w:t>
      </w:r>
      <w:r>
        <w:rPr>
          <w:rFonts w:ascii="Times New Roman" w:hAnsi="Times New Roman" w:eastAsia="Times New Roman" w:cs="Times New Roman"/>
          <w:kern w:val="2"/>
          <w:sz w:val="24"/>
          <w:szCs w:val="24"/>
          <w:lang w:eastAsia="zh-CN"/>
        </w:rPr>
        <w:t xml:space="preserve"> стимулирующего характера «Установление пониженной ставки по налогу с целью поддержки сельскохозяйственных производителей».</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Данный налоговый расход  соответствует цели муниципальной программы: «Оказание поддержки сельскохозяйственным производителям».</w:t>
      </w:r>
      <w:r>
        <w:t xml:space="preserve"> </w:t>
      </w:r>
      <w:r>
        <w:rPr>
          <w:rFonts w:ascii="Times New Roman" w:hAnsi="Times New Roman" w:eastAsia="Times New Roman" w:cs="Times New Roman"/>
          <w:kern w:val="2"/>
          <w:sz w:val="24"/>
          <w:szCs w:val="24"/>
          <w:lang w:eastAsia="zh-CN"/>
        </w:rPr>
        <w:t>На протяжении 5-ти лет налоговый расход не был востребован плательщиками налога. Учитывая, что представленный налоговый расход является дополнительным механизмом государственной (муниципальной) поддержки организаций, занимающихся выращиванием сельскохозяйственных культур на территории Белоярского района, куратором налогового расхода</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Управление</w:t>
      </w:r>
      <w:r>
        <w:rPr>
          <w:rFonts w:ascii="Times New Roman" w:hAnsi="Times New Roman" w:eastAsia="Times New Roman" w:cs="Times New Roman"/>
          <w:kern w:val="2"/>
          <w:sz w:val="24"/>
          <w:szCs w:val="24"/>
          <w:lang w:val="ru-RU" w:eastAsia="zh-CN"/>
        </w:rPr>
        <w:t>м</w:t>
      </w:r>
      <w:r>
        <w:rPr>
          <w:rFonts w:ascii="Times New Roman" w:hAnsi="Times New Roman" w:eastAsia="Times New Roman" w:cs="Times New Roman"/>
          <w:kern w:val="2"/>
          <w:sz w:val="24"/>
          <w:szCs w:val="24"/>
          <w:lang w:eastAsia="zh-CN"/>
        </w:rPr>
        <w:t xml:space="preserve"> природопользования, сельского хозяйства и развития предпринимательства администрации Белоярского района</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предлагается сохранить данную налоговую льготу.</w:t>
      </w:r>
    </w:p>
    <w:p>
      <w:pPr>
        <w:widowControl w:val="0"/>
        <w:tabs>
          <w:tab w:val="left" w:pos="1276"/>
        </w:tabs>
        <w:suppressAutoHyphens/>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p>
    <w:p>
      <w:pPr>
        <w:widowControl w:val="0"/>
        <w:numPr>
          <w:ilvl w:val="0"/>
          <w:numId w:val="2"/>
        </w:numPr>
        <w:tabs>
          <w:tab w:val="left" w:pos="1276"/>
        </w:tabs>
        <w:suppressAutoHyphens/>
        <w:spacing w:after="0" w:line="240" w:lineRule="auto"/>
        <w:ind w:firstLine="709"/>
        <w:contextualSpacing/>
        <w:jc w:val="both"/>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 xml:space="preserve">С 1 января 2022 года в Перечень включен новый налоговый расход по земельному налогу </w:t>
      </w:r>
      <w:r>
        <w:rPr>
          <w:rFonts w:ascii="Times New Roman" w:hAnsi="Times New Roman" w:eastAsia="Times New Roman" w:cs="Times New Roman"/>
          <w:kern w:val="2"/>
          <w:sz w:val="24"/>
          <w:szCs w:val="24"/>
          <w:lang w:eastAsia="zh-CN"/>
        </w:rPr>
        <w:t xml:space="preserve">стимулирующего характера </w:t>
      </w:r>
      <w:r>
        <w:rPr>
          <w:rFonts w:hint="default" w:ascii="Times New Roman" w:hAnsi="Times New Roman" w:eastAsia="Times New Roman" w:cs="Times New Roman"/>
          <w:i/>
          <w:iCs/>
          <w:kern w:val="2"/>
          <w:sz w:val="24"/>
          <w:szCs w:val="24"/>
          <w:lang w:val="ru-RU" w:eastAsia="zh-CN"/>
        </w:rPr>
        <w:t>«</w:t>
      </w:r>
      <w:r>
        <w:rPr>
          <w:rFonts w:hint="default" w:ascii="Times New Roman" w:hAnsi="Times New Roman" w:eastAsia="Times New Roman"/>
          <w:i/>
          <w:iCs/>
          <w:kern w:val="2"/>
          <w:sz w:val="24"/>
          <w:szCs w:val="24"/>
          <w:lang w:eastAsia="zh-CN"/>
        </w:rPr>
        <w:t>Установление пониженной ставки для владельцев земельных участков, предназначенных для обеспечения деятельности организаций и (или) объектов связи, радиовещания, телевидения, информатики</w:t>
      </w:r>
      <w:r>
        <w:rPr>
          <w:rFonts w:hint="default" w:ascii="Times New Roman" w:hAnsi="Times New Roman" w:eastAsia="Times New Roman"/>
          <w:i/>
          <w:iCs/>
          <w:kern w:val="2"/>
          <w:sz w:val="24"/>
          <w:szCs w:val="24"/>
          <w:lang w:val="ru-RU" w:eastAsia="zh-CN"/>
        </w:rPr>
        <w:t>».</w:t>
      </w:r>
    </w:p>
    <w:p>
      <w:pPr>
        <w:widowControl w:val="0"/>
        <w:numPr>
          <w:ilvl w:val="0"/>
          <w:numId w:val="0"/>
        </w:numPr>
        <w:tabs>
          <w:tab w:val="left" w:pos="1276"/>
        </w:tabs>
        <w:suppressAutoHyphens/>
        <w:spacing w:after="0" w:line="240" w:lineRule="auto"/>
        <w:ind w:left="0" w:leftChars="0" w:firstLine="660" w:firstLineChars="275"/>
        <w:contextualSpacing/>
        <w:jc w:val="both"/>
        <w:textAlignment w:val="baseline"/>
        <w:rPr>
          <w:rFonts w:hint="default" w:ascii="Times New Roman" w:hAnsi="Times New Roman" w:eastAsia="Times New Roman" w:cs="Times New Roman"/>
          <w:kern w:val="2"/>
          <w:sz w:val="24"/>
          <w:szCs w:val="24"/>
          <w:lang w:val="ru-RU" w:eastAsia="zh-CN"/>
        </w:rPr>
      </w:pPr>
      <w:r>
        <w:rPr>
          <w:rFonts w:ascii="Times New Roman" w:hAnsi="Times New Roman" w:eastAsia="Times New Roman" w:cs="Times New Roman"/>
          <w:kern w:val="2"/>
          <w:sz w:val="24"/>
          <w:szCs w:val="24"/>
          <w:lang w:eastAsia="zh-CN"/>
        </w:rPr>
        <w:t>Данный налоговый расход</w:t>
      </w:r>
      <w:r>
        <w:rPr>
          <w:rFonts w:hint="default" w:ascii="Times New Roman" w:hAnsi="Times New Roman" w:eastAsia="Times New Roman" w:cs="Times New Roman"/>
          <w:kern w:val="2"/>
          <w:sz w:val="24"/>
          <w:szCs w:val="24"/>
          <w:lang w:val="ru-RU" w:eastAsia="zh-CN"/>
        </w:rPr>
        <w:t xml:space="preserve"> установлен на территории района в соответствии с </w:t>
      </w:r>
      <w:r>
        <w:rPr>
          <w:rFonts w:hint="default" w:ascii="Times New Roman" w:hAnsi="Times New Roman" w:eastAsia="Times New Roman"/>
          <w:kern w:val="2"/>
          <w:sz w:val="24"/>
          <w:szCs w:val="24"/>
          <w:lang w:val="ru-RU" w:eastAsia="zh-CN"/>
        </w:rPr>
        <w:t>Указом Президента Российской Федерации от 2 марта 2022 года № 83 «О мерах по обеспечению ускоренного развития отрасли информационных технологий в Российской Федерации» с целью обеспечения ускоренного развития отрасли информационных технологий в Российской Федерации. Налоговая льгота с</w:t>
      </w:r>
      <w:r>
        <w:rPr>
          <w:rFonts w:ascii="Times New Roman" w:hAnsi="Times New Roman" w:eastAsia="Times New Roman" w:cs="Times New Roman"/>
          <w:kern w:val="2"/>
          <w:sz w:val="24"/>
          <w:szCs w:val="24"/>
          <w:lang w:eastAsia="zh-CN"/>
        </w:rPr>
        <w:t xml:space="preserve">оответствует </w:t>
      </w:r>
      <w:r>
        <w:rPr>
          <w:rFonts w:ascii="Times New Roman" w:hAnsi="Times New Roman" w:eastAsia="Times New Roman" w:cs="Times New Roman"/>
          <w:kern w:val="2"/>
          <w:sz w:val="24"/>
          <w:szCs w:val="24"/>
          <w:lang w:val="ru-RU" w:eastAsia="zh-CN"/>
        </w:rPr>
        <w:t>одной</w:t>
      </w:r>
      <w:r>
        <w:rPr>
          <w:rFonts w:hint="default" w:ascii="Times New Roman" w:hAnsi="Times New Roman" w:eastAsia="Times New Roman" w:cs="Times New Roman"/>
          <w:kern w:val="2"/>
          <w:sz w:val="24"/>
          <w:szCs w:val="24"/>
          <w:lang w:val="ru-RU" w:eastAsia="zh-CN"/>
        </w:rPr>
        <w:t xml:space="preserve"> из </w:t>
      </w:r>
      <w:r>
        <w:rPr>
          <w:rFonts w:ascii="Times New Roman" w:hAnsi="Times New Roman" w:eastAsia="Times New Roman" w:cs="Times New Roman"/>
          <w:kern w:val="2"/>
          <w:sz w:val="24"/>
          <w:szCs w:val="24"/>
          <w:lang w:eastAsia="zh-CN"/>
        </w:rPr>
        <w:t>цел</w:t>
      </w:r>
      <w:r>
        <w:rPr>
          <w:rFonts w:ascii="Times New Roman" w:hAnsi="Times New Roman" w:eastAsia="Times New Roman" w:cs="Times New Roman"/>
          <w:kern w:val="2"/>
          <w:sz w:val="24"/>
          <w:szCs w:val="24"/>
          <w:lang w:val="ru-RU" w:eastAsia="zh-CN"/>
        </w:rPr>
        <w:t>ей</w:t>
      </w:r>
      <w:r>
        <w:rPr>
          <w:rFonts w:hint="default" w:ascii="Times New Roman" w:hAnsi="Times New Roman" w:eastAsia="Times New Roman" w:cs="Times New Roman"/>
          <w:kern w:val="2"/>
          <w:sz w:val="24"/>
          <w:szCs w:val="24"/>
          <w:lang w:val="ru-RU" w:eastAsia="zh-CN"/>
        </w:rPr>
        <w:t xml:space="preserve"> </w:t>
      </w:r>
      <w:r>
        <w:rPr>
          <w:rFonts w:hint="default" w:ascii="Times New Roman" w:hAnsi="Times New Roman" w:eastAsia="Times New Roman"/>
          <w:kern w:val="2"/>
          <w:sz w:val="24"/>
          <w:szCs w:val="24"/>
          <w:lang w:eastAsia="zh-CN"/>
        </w:rPr>
        <w:t>Стратеги</w:t>
      </w:r>
      <w:r>
        <w:rPr>
          <w:rFonts w:hint="default" w:ascii="Times New Roman" w:hAnsi="Times New Roman" w:eastAsia="Times New Roman"/>
          <w:kern w:val="2"/>
          <w:sz w:val="24"/>
          <w:szCs w:val="24"/>
          <w:lang w:val="ru-RU" w:eastAsia="zh-CN"/>
        </w:rPr>
        <w:t>и</w:t>
      </w:r>
      <w:r>
        <w:rPr>
          <w:rFonts w:hint="default" w:ascii="Times New Roman" w:hAnsi="Times New Roman" w:eastAsia="Times New Roman"/>
          <w:kern w:val="2"/>
          <w:sz w:val="24"/>
          <w:szCs w:val="24"/>
          <w:lang w:eastAsia="zh-CN"/>
        </w:rPr>
        <w:t xml:space="preserve"> социально-экономического развития Белоярского района до 2030 года</w:t>
      </w:r>
      <w:r>
        <w:rPr>
          <w:rFonts w:hint="default" w:ascii="Times New Roman" w:hAnsi="Times New Roman" w:eastAsia="Times New Roman"/>
          <w:kern w:val="2"/>
          <w:sz w:val="24"/>
          <w:szCs w:val="24"/>
          <w:lang w:val="ru-RU" w:eastAsia="zh-CN"/>
        </w:rPr>
        <w:t xml:space="preserve"> - «Внедрение информационно - коммуникационных технологий». Выявлено 4 потенциальных получателя  вышеуказанной налоговой льготы.  Куратором налогового расхода (Отделом по информационным ресурсам и защите информации администрации Белоярского района) налоговый расход предлагается сохранить.  </w:t>
      </w:r>
    </w:p>
    <w:p>
      <w:pPr>
        <w:widowControl w:val="0"/>
        <w:tabs>
          <w:tab w:val="left" w:pos="1276"/>
        </w:tabs>
        <w:suppressAutoHyphens/>
        <w:spacing w:after="0" w:line="240" w:lineRule="auto"/>
        <w:ind w:firstLine="709"/>
        <w:contextualSpacing/>
        <w:jc w:val="both"/>
        <w:textAlignment w:val="baseline"/>
        <w:rPr>
          <w:rFonts w:hint="default" w:ascii="Times New Roman" w:hAnsi="Times New Roman" w:eastAsia="Times New Roman"/>
          <w:kern w:val="2"/>
          <w:sz w:val="24"/>
          <w:szCs w:val="24"/>
          <w:lang w:val="ru-RU" w:eastAsia="zh-CN"/>
        </w:rPr>
      </w:pPr>
    </w:p>
    <w:p>
      <w:pPr>
        <w:widowControl w:val="0"/>
        <w:tabs>
          <w:tab w:val="left" w:pos="1276"/>
        </w:tabs>
        <w:suppressAutoHyphens/>
        <w:spacing w:after="0" w:line="240" w:lineRule="auto"/>
        <w:contextualSpacing/>
        <w:jc w:val="center"/>
        <w:textAlignment w:val="baseline"/>
        <w:rPr>
          <w:rFonts w:ascii="Times New Roman" w:hAnsi="Times New Roman" w:eastAsia="Times New Roman" w:cs="Times New Roman"/>
          <w:b/>
          <w:kern w:val="2"/>
          <w:sz w:val="24"/>
          <w:szCs w:val="24"/>
          <w:lang w:eastAsia="zh-CN"/>
        </w:rPr>
      </w:pPr>
      <w:r>
        <w:rPr>
          <w:rFonts w:ascii="Times New Roman" w:hAnsi="Times New Roman" w:eastAsia="Times New Roman" w:cs="Times New Roman"/>
          <w:b/>
          <w:kern w:val="2"/>
          <w:sz w:val="24"/>
          <w:szCs w:val="24"/>
          <w:lang w:eastAsia="zh-CN"/>
        </w:rPr>
        <w:t>2. Эффективность налоговых расходов по налогу на имущество физических лиц</w:t>
      </w:r>
    </w:p>
    <w:p>
      <w:pPr>
        <w:widowControl w:val="0"/>
        <w:tabs>
          <w:tab w:val="left" w:pos="1276"/>
        </w:tabs>
        <w:suppressAutoHyphens/>
        <w:spacing w:after="0" w:line="240" w:lineRule="auto"/>
        <w:contextualSpacing/>
        <w:jc w:val="center"/>
        <w:textAlignment w:val="baseline"/>
        <w:rPr>
          <w:rFonts w:ascii="Times New Roman" w:hAnsi="Times New Roman" w:eastAsia="Times New Roman" w:cs="Times New Roman"/>
          <w:b/>
          <w:kern w:val="2"/>
          <w:sz w:val="24"/>
          <w:szCs w:val="24"/>
          <w:lang w:eastAsia="zh-CN"/>
        </w:rPr>
      </w:pPr>
    </w:p>
    <w:p>
      <w:pPr>
        <w:widowControl w:val="0"/>
        <w:tabs>
          <w:tab w:val="left" w:pos="426"/>
        </w:tabs>
        <w:suppressAutoHyphens/>
        <w:autoSpaceDE w:val="0"/>
        <w:spacing w:after="0" w:line="240" w:lineRule="auto"/>
        <w:ind w:firstLine="709"/>
        <w:contextualSpacing/>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В соответствии с решением Думы Белоярского района от 29.10.2014 года № 84 «Об утверждении Положения о налоге на имущество физических лиц на межселенной территории Белоярского района» налоговые расходы представлены в виде налоговых льгот для отдельных категорий физических и юридических лиц.</w:t>
      </w:r>
    </w:p>
    <w:p>
      <w:pPr>
        <w:widowControl w:val="0"/>
        <w:suppressAutoHyphens/>
        <w:spacing w:after="0" w:line="240" w:lineRule="auto"/>
        <w:ind w:firstLine="709"/>
        <w:jc w:val="both"/>
        <w:textAlignment w:val="baseline"/>
        <w:rPr>
          <w:rFonts w:hint="default" w:ascii="Times New Roman" w:hAnsi="Times New Roman" w:eastAsia="Times New Roman" w:cs="Times New Roman"/>
          <w:kern w:val="2"/>
          <w:sz w:val="24"/>
          <w:szCs w:val="24"/>
          <w:lang w:val="ru-RU" w:eastAsia="zh-CN"/>
        </w:rPr>
      </w:pPr>
      <w:r>
        <w:rPr>
          <w:rFonts w:ascii="Times New Roman" w:hAnsi="Times New Roman" w:eastAsia="Times New Roman" w:cs="Times New Roman"/>
          <w:kern w:val="2"/>
          <w:sz w:val="24"/>
          <w:szCs w:val="24"/>
          <w:lang w:eastAsia="zh-CN"/>
        </w:rPr>
        <w:t xml:space="preserve">Оценка эффективности проведена кураторами налоговых расходов по 2 </w:t>
      </w:r>
      <w:r>
        <w:rPr>
          <w:rFonts w:ascii="Times New Roman" w:hAnsi="Times New Roman" w:eastAsia="Times New Roman" w:cs="Times New Roman"/>
          <w:kern w:val="2"/>
          <w:sz w:val="24"/>
          <w:szCs w:val="24"/>
          <w:lang w:val="ru-RU" w:eastAsia="zh-CN"/>
        </w:rPr>
        <w:t>видам</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налоговы</w:t>
      </w:r>
      <w:r>
        <w:rPr>
          <w:rFonts w:ascii="Times New Roman" w:hAnsi="Times New Roman" w:eastAsia="Times New Roman" w:cs="Times New Roman"/>
          <w:kern w:val="2"/>
          <w:sz w:val="24"/>
          <w:szCs w:val="24"/>
          <w:lang w:val="ru-RU" w:eastAsia="zh-CN"/>
        </w:rPr>
        <w:t>х</w:t>
      </w:r>
      <w:r>
        <w:rPr>
          <w:rFonts w:ascii="Times New Roman" w:hAnsi="Times New Roman" w:eastAsia="Times New Roman" w:cs="Times New Roman"/>
          <w:kern w:val="2"/>
          <w:sz w:val="24"/>
          <w:szCs w:val="24"/>
          <w:lang w:eastAsia="zh-CN"/>
        </w:rPr>
        <w:t xml:space="preserve"> расход</w:t>
      </w:r>
      <w:r>
        <w:rPr>
          <w:rFonts w:ascii="Times New Roman" w:hAnsi="Times New Roman" w:eastAsia="Times New Roman" w:cs="Times New Roman"/>
          <w:kern w:val="2"/>
          <w:sz w:val="24"/>
          <w:szCs w:val="24"/>
          <w:lang w:val="ru-RU" w:eastAsia="zh-CN"/>
        </w:rPr>
        <w:t>ов</w:t>
      </w:r>
      <w:r>
        <w:rPr>
          <w:rFonts w:ascii="Times New Roman" w:hAnsi="Times New Roman" w:eastAsia="Times New Roman" w:cs="Times New Roman"/>
          <w:kern w:val="2"/>
          <w:sz w:val="24"/>
          <w:szCs w:val="24"/>
          <w:lang w:eastAsia="zh-CN"/>
        </w:rPr>
        <w:t xml:space="preserve"> (1 стимулирующий и 1 социальный), распределенным по 2 муниципальным программам в соответствии с показателями достижения целей</w:t>
      </w:r>
      <w:r>
        <w:rPr>
          <w:rFonts w:hint="default" w:ascii="Times New Roman" w:hAnsi="Times New Roman" w:eastAsia="Times New Roman" w:cs="Times New Roman"/>
          <w:kern w:val="2"/>
          <w:sz w:val="24"/>
          <w:szCs w:val="24"/>
          <w:lang w:val="ru-RU" w:eastAsia="zh-CN"/>
        </w:rPr>
        <w:t xml:space="preserve"> (таблица 2 приложения 1 к аналитической справке).</w:t>
      </w:r>
    </w:p>
    <w:p>
      <w:pPr>
        <w:widowControl w:val="0"/>
        <w:suppressAutoHyphens/>
        <w:spacing w:after="0" w:line="240" w:lineRule="auto"/>
        <w:ind w:firstLine="709"/>
        <w:jc w:val="both"/>
        <w:textAlignment w:val="baseline"/>
        <w:rPr>
          <w:rFonts w:hint="default" w:ascii="Times New Roman" w:hAnsi="Times New Roman" w:eastAsia="Times New Roman" w:cs="Times New Roman"/>
          <w:kern w:val="2"/>
          <w:sz w:val="24"/>
          <w:szCs w:val="24"/>
          <w:lang w:val="ru-RU" w:eastAsia="zh-CN"/>
        </w:rPr>
      </w:pP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i/>
          <w:kern w:val="2"/>
          <w:sz w:val="24"/>
          <w:szCs w:val="24"/>
          <w:lang w:eastAsia="zh-CN"/>
        </w:rPr>
        <w:t xml:space="preserve">1. В муниципальную программу Белоярского района «Развитие социальной политики на территории Белоярского района», </w:t>
      </w:r>
      <w:r>
        <w:rPr>
          <w:rFonts w:ascii="Times New Roman" w:hAnsi="Times New Roman" w:eastAsia="Times New Roman" w:cs="Times New Roman"/>
          <w:kern w:val="2"/>
          <w:sz w:val="24"/>
          <w:szCs w:val="24"/>
          <w:lang w:eastAsia="zh-CN"/>
        </w:rPr>
        <w:t xml:space="preserve">ответственным исполнителем которой является Управление по охране труда и социальной политики администрации Белоярского района, включен 1 социальный  налоговый расход «Освобождение от уплаты налога несовершеннолетних владельцев долей имущества».  </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Данный налоговый расход соответствует цели муниципальной программы «Социальная поддержка отдельных категорий граждан, повышение качества жизни жителей Белоярского района». На протяжении 5-ти лет вышеуказанный налоговый расход не был востребован плательщиками налога, но учитывая его социальную направленность (поддержка </w:t>
      </w:r>
      <w:r>
        <w:rPr>
          <w:rFonts w:ascii="Times New Roman" w:hAnsi="Times New Roman" w:eastAsia="Times New Roman" w:cs="Times New Roman"/>
          <w:kern w:val="2"/>
          <w:sz w:val="24"/>
          <w:szCs w:val="24"/>
          <w:lang w:val="ru-RU" w:eastAsia="zh-CN"/>
        </w:rPr>
        <w:t>социально-незащищённых</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слоев населения), куратором налогового расхода</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Управление по охране труда и социальной политики администрации Белоярского района</w:t>
      </w:r>
      <w:r>
        <w:rPr>
          <w:rFonts w:hint="default" w:ascii="Times New Roman" w:hAnsi="Times New Roman" w:eastAsia="Times New Roman" w:cs="Times New Roman"/>
          <w:kern w:val="2"/>
          <w:sz w:val="24"/>
          <w:szCs w:val="24"/>
          <w:lang w:val="ru-RU" w:eastAsia="zh-CN"/>
        </w:rPr>
        <w:t>)</w:t>
      </w:r>
      <w:r>
        <w:rPr>
          <w:rFonts w:ascii="Times New Roman" w:hAnsi="Times New Roman" w:eastAsia="Times New Roman" w:cs="Times New Roman"/>
          <w:kern w:val="2"/>
          <w:sz w:val="24"/>
          <w:szCs w:val="24"/>
          <w:lang w:eastAsia="zh-CN"/>
        </w:rPr>
        <w:t xml:space="preserve"> предлагается сохранить данную льготу.</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i/>
          <w:kern w:val="2"/>
          <w:sz w:val="24"/>
          <w:szCs w:val="24"/>
          <w:lang w:eastAsia="zh-CN"/>
        </w:rPr>
        <w:t>2. В муниципальную программу Белоярского района «Развитие малого и среднего предпринимательства  и туризма в Белоярском районе</w:t>
      </w:r>
      <w:r>
        <w:rPr>
          <w:rFonts w:hint="default" w:ascii="Times New Roman" w:hAnsi="Times New Roman" w:eastAsia="Times New Roman" w:cs="Times New Roman"/>
          <w:i/>
          <w:kern w:val="2"/>
          <w:sz w:val="24"/>
          <w:szCs w:val="24"/>
          <w:lang w:val="ru-RU" w:eastAsia="zh-CN"/>
        </w:rPr>
        <w:t>»</w:t>
      </w:r>
      <w:r>
        <w:rPr>
          <w:rFonts w:ascii="Times New Roman" w:hAnsi="Times New Roman" w:eastAsia="Times New Roman" w:cs="Times New Roman"/>
          <w:i/>
          <w:kern w:val="2"/>
          <w:sz w:val="24"/>
          <w:szCs w:val="24"/>
          <w:lang w:eastAsia="zh-CN"/>
        </w:rPr>
        <w:t>,</w:t>
      </w:r>
      <w:r>
        <w:rPr>
          <w:rFonts w:ascii="Times New Roman" w:hAnsi="Times New Roman" w:eastAsia="Times New Roman" w:cs="Times New Roman"/>
          <w:kern w:val="2"/>
          <w:sz w:val="24"/>
          <w:szCs w:val="24"/>
          <w:lang w:eastAsia="zh-CN"/>
        </w:rPr>
        <w:t xml:space="preserve"> ответственным исполнителем которой является Управление природопользования, сельского хозяйства и развития предпринимательства администрации Белоярского района, включен 1</w:t>
      </w:r>
      <w:r>
        <w:rPr>
          <w:rFonts w:hint="default" w:ascii="Times New Roman" w:hAnsi="Times New Roman" w:eastAsia="Times New Roman" w:cs="Times New Roman"/>
          <w:kern w:val="2"/>
          <w:sz w:val="24"/>
          <w:szCs w:val="24"/>
          <w:lang w:val="ru-RU" w:eastAsia="zh-CN"/>
        </w:rPr>
        <w:t xml:space="preserve"> вид</w:t>
      </w:r>
      <w:r>
        <w:rPr>
          <w:rFonts w:ascii="Times New Roman" w:hAnsi="Times New Roman" w:eastAsia="Times New Roman" w:cs="Times New Roman"/>
          <w:kern w:val="2"/>
          <w:sz w:val="24"/>
          <w:szCs w:val="24"/>
          <w:lang w:eastAsia="zh-CN"/>
        </w:rPr>
        <w:t xml:space="preserve"> налогов</w:t>
      </w:r>
      <w:r>
        <w:rPr>
          <w:rFonts w:ascii="Times New Roman" w:hAnsi="Times New Roman" w:eastAsia="Times New Roman" w:cs="Times New Roman"/>
          <w:kern w:val="2"/>
          <w:sz w:val="24"/>
          <w:szCs w:val="24"/>
          <w:lang w:val="ru-RU" w:eastAsia="zh-CN"/>
        </w:rPr>
        <w:t>ого</w:t>
      </w:r>
      <w:r>
        <w:rPr>
          <w:rFonts w:ascii="Times New Roman" w:hAnsi="Times New Roman" w:eastAsia="Times New Roman" w:cs="Times New Roman"/>
          <w:kern w:val="2"/>
          <w:sz w:val="24"/>
          <w:szCs w:val="24"/>
          <w:lang w:eastAsia="zh-CN"/>
        </w:rPr>
        <w:t xml:space="preserve"> расход</w:t>
      </w:r>
      <w:r>
        <w:rPr>
          <w:rFonts w:ascii="Times New Roman" w:hAnsi="Times New Roman" w:eastAsia="Times New Roman" w:cs="Times New Roman"/>
          <w:kern w:val="2"/>
          <w:sz w:val="24"/>
          <w:szCs w:val="24"/>
          <w:lang w:val="ru-RU" w:eastAsia="zh-CN"/>
        </w:rPr>
        <w:t>а</w:t>
      </w:r>
      <w:r>
        <w:rPr>
          <w:rFonts w:ascii="Times New Roman" w:hAnsi="Times New Roman" w:eastAsia="Times New Roman" w:cs="Times New Roman"/>
          <w:kern w:val="2"/>
          <w:sz w:val="24"/>
          <w:szCs w:val="24"/>
          <w:lang w:eastAsia="zh-CN"/>
        </w:rPr>
        <w:t xml:space="preserve"> стимулирующего характера «Установление пониженной ставки для индивидуальных предпринимателей – владельцев объектов недвижимого имущества», включенного в перечень, определяемый в соответствии с пунктом 7 статьи 378.2 Налогового кодекса Российской Федерации».</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Данный налоговый расход соответствует цели муниципальной программы «Содействие развитию малого и среднего предпринимательства  в Белоярском районе». </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На протяжении 5-ти лет налоговый расход не был востребован плательщиками налога.</w:t>
      </w:r>
    </w:p>
    <w:p>
      <w:pPr>
        <w:widowControl w:val="0"/>
        <w:suppressAutoHyphens/>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Преимущества представленного налогового расхода относительно доступных альтернативных механизмов государственной (муниципальной) поддержки является </w:t>
      </w:r>
      <w:r>
        <w:rPr>
          <w:rFonts w:ascii="Times New Roman" w:hAnsi="Times New Roman" w:eastAsia="Times New Roman" w:cs="Times New Roman"/>
          <w:kern w:val="2"/>
          <w:sz w:val="24"/>
          <w:szCs w:val="24"/>
          <w:lang w:val="ru-RU" w:eastAsia="zh-CN"/>
        </w:rPr>
        <w:t>е</w:t>
      </w:r>
      <w:r>
        <w:rPr>
          <w:rFonts w:ascii="Times New Roman" w:hAnsi="Times New Roman" w:eastAsia="Times New Roman" w:cs="Times New Roman"/>
          <w:kern w:val="2"/>
          <w:sz w:val="24"/>
          <w:szCs w:val="24"/>
          <w:lang w:eastAsia="zh-CN"/>
        </w:rPr>
        <w:t xml:space="preserve">го экономичность. Альтернативный механизм субсидирования расходов имеет компенсационный, целевой характер и направлен на возмещение части затрат субъектов малого и среднего предпринимательства, в то время, как налоговые льготы дают вариативность в принятии решения данной категорией плательщиков в использовании высвободившихся средств на пополнение оборотных средств и инвестиций в основной капитал. Куратором налогового расхода </w:t>
      </w:r>
      <w:r>
        <w:rPr>
          <w:rFonts w:hint="default" w:ascii="Times New Roman" w:hAnsi="Times New Roman" w:eastAsia="Times New Roman" w:cs="Times New Roman"/>
          <w:kern w:val="2"/>
          <w:sz w:val="24"/>
          <w:szCs w:val="24"/>
          <w:lang w:val="ru-RU" w:eastAsia="zh-CN"/>
        </w:rPr>
        <w:t>(</w:t>
      </w:r>
      <w:r>
        <w:rPr>
          <w:rFonts w:ascii="Times New Roman" w:hAnsi="Times New Roman" w:eastAsia="Times New Roman" w:cs="Times New Roman"/>
          <w:kern w:val="2"/>
          <w:sz w:val="24"/>
          <w:szCs w:val="24"/>
          <w:lang w:eastAsia="zh-CN"/>
        </w:rPr>
        <w:t>Управление</w:t>
      </w:r>
      <w:r>
        <w:rPr>
          <w:rFonts w:ascii="Times New Roman" w:hAnsi="Times New Roman" w:eastAsia="Times New Roman" w:cs="Times New Roman"/>
          <w:kern w:val="2"/>
          <w:sz w:val="24"/>
          <w:szCs w:val="24"/>
          <w:lang w:val="ru-RU" w:eastAsia="zh-CN"/>
        </w:rPr>
        <w:t>м</w:t>
      </w:r>
      <w:r>
        <w:rPr>
          <w:rFonts w:ascii="Times New Roman" w:hAnsi="Times New Roman" w:eastAsia="Times New Roman" w:cs="Times New Roman"/>
          <w:kern w:val="2"/>
          <w:sz w:val="24"/>
          <w:szCs w:val="24"/>
          <w:lang w:eastAsia="zh-CN"/>
        </w:rPr>
        <w:t xml:space="preserve"> природопользования, сельского хозяйства и развития предпринимательства администрации Белоярского района</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предлагается сохранить данную льготу.</w:t>
      </w:r>
    </w:p>
    <w:p>
      <w:pPr>
        <w:widowControl w:val="0"/>
        <w:tabs>
          <w:tab w:val="left" w:pos="1276"/>
        </w:tabs>
        <w:suppressAutoHyphens/>
        <w:spacing w:after="0" w:line="240" w:lineRule="auto"/>
        <w:contextualSpacing/>
        <w:jc w:val="center"/>
        <w:textAlignment w:val="baseline"/>
        <w:rPr>
          <w:rFonts w:ascii="Times New Roman" w:hAnsi="Times New Roman" w:eastAsia="Times New Roman" w:cs="Times New Roman"/>
          <w:b/>
          <w:kern w:val="2"/>
          <w:sz w:val="24"/>
          <w:szCs w:val="24"/>
          <w:lang w:eastAsia="zh-CN"/>
        </w:rPr>
      </w:pPr>
    </w:p>
    <w:p>
      <w:pPr>
        <w:widowControl w:val="0"/>
        <w:tabs>
          <w:tab w:val="left" w:pos="1276"/>
        </w:tabs>
        <w:suppressAutoHyphens/>
        <w:spacing w:after="0" w:line="240" w:lineRule="auto"/>
        <w:contextualSpacing/>
        <w:jc w:val="center"/>
        <w:textAlignment w:val="baseline"/>
        <w:rPr>
          <w:rFonts w:ascii="Times New Roman" w:hAnsi="Times New Roman" w:eastAsia="Times New Roman" w:cs="Times New Roman"/>
          <w:kern w:val="2"/>
          <w:sz w:val="24"/>
          <w:szCs w:val="24"/>
          <w:lang w:eastAsia="zh-CN"/>
        </w:rPr>
      </w:pPr>
      <w:r>
        <w:rPr>
          <w:rFonts w:hint="default" w:ascii="Times New Roman" w:hAnsi="Times New Roman" w:eastAsia="Times New Roman" w:cs="Times New Roman"/>
          <w:b/>
          <w:kern w:val="2"/>
          <w:sz w:val="24"/>
          <w:szCs w:val="24"/>
          <w:lang w:val="ru-RU" w:eastAsia="zh-CN"/>
        </w:rPr>
        <w:t>3</w:t>
      </w:r>
      <w:r>
        <w:rPr>
          <w:rFonts w:ascii="Times New Roman" w:hAnsi="Times New Roman" w:eastAsia="Times New Roman" w:cs="Times New Roman"/>
          <w:b/>
          <w:kern w:val="2"/>
          <w:sz w:val="24"/>
          <w:szCs w:val="24"/>
          <w:lang w:eastAsia="zh-CN"/>
        </w:rPr>
        <w:t>. Выводы</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Установленные налоговые расходы района направлены на достижение целей 5 муниципальных программ Белоярского района</w:t>
      </w:r>
      <w:r>
        <w:rPr>
          <w:rFonts w:hint="default" w:ascii="Times New Roman" w:hAnsi="Times New Roman" w:eastAsia="Times New Roman" w:cs="Times New Roman"/>
          <w:kern w:val="2"/>
          <w:sz w:val="24"/>
          <w:szCs w:val="24"/>
          <w:lang w:val="ru-RU" w:eastAsia="zh-CN"/>
        </w:rPr>
        <w:t xml:space="preserve">  и 1 цели Стратегии социально-экономического развития района </w:t>
      </w:r>
      <w:r>
        <w:rPr>
          <w:rFonts w:ascii="Times New Roman" w:hAnsi="Times New Roman" w:eastAsia="Times New Roman" w:cs="Times New Roman"/>
          <w:kern w:val="2"/>
          <w:sz w:val="24"/>
          <w:szCs w:val="24"/>
          <w:lang w:eastAsia="zh-CN"/>
        </w:rPr>
        <w:t>, в том числе:</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социальную поддержку отдельных категорий граждан, повышение качества жизни жителей района;</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поддержку сельскохозяйственных производителей;</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поддержку субъектов малого предпринимательства, развития предпринимательской деятельности;</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создание условий для развития институтов гражданского общества и реализации гражданских инициатив;</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оптимизацию бюджетных расходов, исключение встречных финансовых потоков;</w:t>
      </w:r>
    </w:p>
    <w:p>
      <w:pPr>
        <w:suppressAutoHyphens/>
        <w:autoSpaceDE w:val="0"/>
        <w:spacing w:after="0" w:line="240" w:lineRule="auto"/>
        <w:ind w:firstLine="709"/>
        <w:jc w:val="both"/>
        <w:rPr>
          <w:rFonts w:hint="default" w:ascii="Times New Roman" w:hAnsi="Times New Roman" w:eastAsia="Calibri" w:cs="Times New Roman"/>
          <w:sz w:val="24"/>
          <w:szCs w:val="24"/>
          <w:lang w:val="ru-RU" w:eastAsia="zh-CN"/>
        </w:rPr>
      </w:pPr>
      <w:r>
        <w:rPr>
          <w:rFonts w:hint="default" w:ascii="Times New Roman" w:hAnsi="Times New Roman" w:eastAsia="Calibri" w:cs="Times New Roman"/>
          <w:sz w:val="24"/>
          <w:szCs w:val="24"/>
          <w:lang w:val="en-US" w:eastAsia="ru-RU"/>
        </w:rPr>
        <w:t>- поддержка о</w:t>
      </w:r>
      <w:r>
        <w:rPr>
          <w:rFonts w:hint="default" w:ascii="Times New Roman" w:hAnsi="Times New Roman" w:eastAsia="Times New Roman"/>
          <w:kern w:val="2"/>
          <w:sz w:val="24"/>
          <w:szCs w:val="24"/>
          <w:lang w:eastAsia="zh-CN"/>
        </w:rPr>
        <w:t>бъектов связи, радиовещания, телевидения</w:t>
      </w:r>
      <w:r>
        <w:rPr>
          <w:rFonts w:hint="default" w:ascii="Times New Roman" w:hAnsi="Times New Roman" w:eastAsia="Times New Roman"/>
          <w:kern w:val="2"/>
          <w:sz w:val="24"/>
          <w:szCs w:val="24"/>
          <w:lang w:val="ru-RU" w:eastAsia="zh-CN"/>
        </w:rPr>
        <w:t xml:space="preserve"> и</w:t>
      </w:r>
      <w:r>
        <w:rPr>
          <w:rFonts w:hint="default" w:ascii="Times New Roman" w:hAnsi="Times New Roman" w:eastAsia="Times New Roman"/>
          <w:kern w:val="2"/>
          <w:sz w:val="24"/>
          <w:szCs w:val="24"/>
          <w:lang w:eastAsia="zh-CN"/>
        </w:rPr>
        <w:t xml:space="preserve"> информатики</w:t>
      </w:r>
      <w:r>
        <w:rPr>
          <w:rFonts w:hint="default" w:ascii="Times New Roman" w:hAnsi="Times New Roman" w:eastAsia="Times New Roman"/>
          <w:kern w:val="2"/>
          <w:sz w:val="24"/>
          <w:szCs w:val="24"/>
          <w:lang w:val="ru-RU" w:eastAsia="zh-CN"/>
        </w:rPr>
        <w:t>;</w:t>
      </w:r>
    </w:p>
    <w:p>
      <w:pPr>
        <w:suppressAutoHyphens/>
        <w:autoSpaceDE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создание на территории района благоприятного инвестиционного климата, развития конкуренции.</w:t>
      </w:r>
    </w:p>
    <w:p>
      <w:pPr>
        <w:suppressAutoHyphens/>
        <w:autoSpaceDE w:val="0"/>
        <w:spacing w:after="0" w:line="240" w:lineRule="auto"/>
        <w:ind w:firstLine="709"/>
        <w:jc w:val="both"/>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По итогам оценки эффективности налоговых расходов по критериям целесообразности и результативности установлено следующее.</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val="ru-RU" w:eastAsia="zh-CN"/>
        </w:rPr>
        <w:t>Н</w:t>
      </w:r>
      <w:r>
        <w:rPr>
          <w:rFonts w:ascii="Times New Roman" w:hAnsi="Times New Roman" w:eastAsia="Times New Roman" w:cs="Times New Roman"/>
          <w:kern w:val="2"/>
          <w:sz w:val="24"/>
          <w:szCs w:val="24"/>
          <w:lang w:eastAsia="zh-CN"/>
        </w:rPr>
        <w:t>а протяжении пяти лет невостребованными оказалось</w:t>
      </w:r>
      <w:r>
        <w:rPr>
          <w:rFonts w:hint="default" w:ascii="Times New Roman" w:hAnsi="Times New Roman" w:eastAsia="Times New Roman" w:cs="Times New Roman"/>
          <w:kern w:val="2"/>
          <w:sz w:val="24"/>
          <w:szCs w:val="24"/>
          <w:lang w:val="ru-RU" w:eastAsia="zh-CN"/>
        </w:rPr>
        <w:t xml:space="preserve"> 7 налоговых расходов</w:t>
      </w:r>
      <w:r>
        <w:rPr>
          <w:rFonts w:ascii="Times New Roman" w:hAnsi="Times New Roman" w:eastAsia="Times New Roman" w:cs="Times New Roman"/>
          <w:kern w:val="2"/>
          <w:sz w:val="24"/>
          <w:szCs w:val="24"/>
          <w:lang w:eastAsia="zh-CN"/>
        </w:rPr>
        <w:t>, в том числе:</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по земельному налогу – 5</w:t>
      </w:r>
      <w:r>
        <w:rPr>
          <w:rFonts w:hint="default" w:ascii="Times New Roman" w:hAnsi="Times New Roman" w:eastAsia="Times New Roman" w:cs="Times New Roman"/>
          <w:kern w:val="2"/>
          <w:sz w:val="24"/>
          <w:szCs w:val="24"/>
          <w:lang w:val="ru-RU" w:eastAsia="zh-CN"/>
        </w:rPr>
        <w:t xml:space="preserve"> видов</w:t>
      </w:r>
      <w:r>
        <w:rPr>
          <w:rFonts w:ascii="Times New Roman" w:hAnsi="Times New Roman" w:eastAsia="Times New Roman" w:cs="Times New Roman"/>
          <w:kern w:val="2"/>
          <w:sz w:val="24"/>
          <w:szCs w:val="24"/>
          <w:lang w:eastAsia="zh-CN"/>
        </w:rPr>
        <w:t xml:space="preserve"> налоговых расход</w:t>
      </w:r>
      <w:r>
        <w:rPr>
          <w:rFonts w:ascii="Times New Roman" w:hAnsi="Times New Roman" w:eastAsia="Times New Roman" w:cs="Times New Roman"/>
          <w:kern w:val="2"/>
          <w:sz w:val="24"/>
          <w:szCs w:val="24"/>
          <w:lang w:val="ru-RU" w:eastAsia="zh-CN"/>
        </w:rPr>
        <w:t>ов</w:t>
      </w:r>
      <w:r>
        <w:rPr>
          <w:rFonts w:ascii="Times New Roman" w:hAnsi="Times New Roman" w:eastAsia="Times New Roman" w:cs="Times New Roman"/>
          <w:kern w:val="2"/>
          <w:sz w:val="24"/>
          <w:szCs w:val="24"/>
          <w:lang w:eastAsia="zh-CN"/>
        </w:rPr>
        <w:t>,</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по налогу на имущество физических лиц – 2</w:t>
      </w:r>
      <w:r>
        <w:rPr>
          <w:rFonts w:hint="default" w:ascii="Times New Roman" w:hAnsi="Times New Roman" w:eastAsia="Times New Roman" w:cs="Times New Roman"/>
          <w:kern w:val="2"/>
          <w:sz w:val="24"/>
          <w:szCs w:val="24"/>
          <w:lang w:val="ru-RU" w:eastAsia="zh-CN"/>
        </w:rPr>
        <w:t xml:space="preserve"> вида</w:t>
      </w:r>
      <w:r>
        <w:rPr>
          <w:rFonts w:ascii="Times New Roman" w:hAnsi="Times New Roman" w:eastAsia="Times New Roman" w:cs="Times New Roman"/>
          <w:kern w:val="2"/>
          <w:sz w:val="24"/>
          <w:szCs w:val="24"/>
          <w:lang w:eastAsia="zh-CN"/>
        </w:rPr>
        <w:t xml:space="preserve"> налоговых расхода.</w:t>
      </w:r>
    </w:p>
    <w:p>
      <w:pPr>
        <w:widowControl w:val="0"/>
        <w:tabs>
          <w:tab w:val="left" w:pos="1276"/>
        </w:tabs>
        <w:suppressAutoHyphens/>
        <w:autoSpaceDE w:val="0"/>
        <w:spacing w:after="0" w:line="240" w:lineRule="auto"/>
        <w:ind w:firstLine="709"/>
        <w:jc w:val="both"/>
        <w:textAlignment w:val="baseline"/>
        <w:rPr>
          <w:rFonts w:hint="default" w:ascii="Times New Roman" w:hAnsi="Times New Roman" w:eastAsia="Times New Roman" w:cs="Times New Roman"/>
          <w:kern w:val="2"/>
          <w:sz w:val="24"/>
          <w:szCs w:val="24"/>
          <w:lang w:val="ru-RU" w:eastAsia="zh-CN"/>
        </w:rPr>
      </w:pPr>
      <w:r>
        <w:rPr>
          <w:rFonts w:ascii="Times New Roman" w:hAnsi="Times New Roman" w:eastAsia="Times New Roman" w:cs="Times New Roman"/>
          <w:kern w:val="2"/>
          <w:sz w:val="24"/>
          <w:szCs w:val="24"/>
          <w:lang w:val="ru-RU" w:eastAsia="zh-CN"/>
        </w:rPr>
        <w:t>Два</w:t>
      </w:r>
      <w:r>
        <w:rPr>
          <w:rFonts w:hint="default" w:ascii="Times New Roman" w:hAnsi="Times New Roman" w:eastAsia="Times New Roman" w:cs="Times New Roman"/>
          <w:kern w:val="2"/>
          <w:sz w:val="24"/>
          <w:szCs w:val="24"/>
          <w:lang w:val="ru-RU" w:eastAsia="zh-CN"/>
        </w:rPr>
        <w:t xml:space="preserve"> налоговых расхода установлены на территории района недавно, в настоящее время заявители на данные льготы отсутствуют, но выявлены 4 потенциальных получателя льгот в последующие налоговые периоды.</w:t>
      </w:r>
    </w:p>
    <w:p>
      <w:pPr>
        <w:widowControl w:val="0"/>
        <w:tabs>
          <w:tab w:val="left" w:pos="1276"/>
        </w:tabs>
        <w:suppressAutoHyphens/>
        <w:spacing w:after="0" w:line="240" w:lineRule="auto"/>
        <w:ind w:firstLine="709"/>
        <w:contextualSpacing/>
        <w:jc w:val="both"/>
        <w:textAlignment w:val="baseline"/>
        <w:rPr>
          <w:rFonts w:hint="default" w:ascii="Times New Roman" w:hAnsi="Times New Roman" w:eastAsia="Times New Roman" w:cs="Times New Roman"/>
          <w:kern w:val="2"/>
          <w:sz w:val="24"/>
          <w:szCs w:val="24"/>
          <w:lang w:val="ru-RU" w:eastAsia="zh-CN"/>
        </w:rPr>
      </w:pPr>
      <w:r>
        <w:rPr>
          <w:rFonts w:hint="default" w:ascii="Times New Roman" w:hAnsi="Times New Roman" w:eastAsia="Times New Roman" w:cs="Times New Roman"/>
          <w:kern w:val="2"/>
          <w:sz w:val="24"/>
          <w:szCs w:val="24"/>
          <w:lang w:val="ru-RU" w:eastAsia="zh-CN"/>
        </w:rPr>
        <w:t>Все установленные налоговые расходы района соответствуют целям муниципальных программ Белоярского района и Стратегии социально - экономического развития Белоярского района до 2030 года.</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val="ru-RU" w:eastAsia="zh-CN"/>
        </w:rPr>
        <w:t>С</w:t>
      </w:r>
      <w:r>
        <w:rPr>
          <w:rFonts w:ascii="Times New Roman" w:hAnsi="Times New Roman" w:eastAsia="Times New Roman" w:cs="Times New Roman"/>
          <w:kern w:val="2"/>
          <w:sz w:val="24"/>
          <w:szCs w:val="24"/>
          <w:lang w:eastAsia="zh-CN"/>
        </w:rPr>
        <w:t xml:space="preserve">равнительный анализ результативности предоставления налоговых расходов и результативности применения альтернативных механизмов достижения целей муниципальных программ района показал, что существующий механизм льготного налогообложения более эффективный и менее затратный для бюджета района. </w:t>
      </w:r>
      <w:r>
        <w:rPr>
          <w:rFonts w:ascii="Times New Roman" w:hAnsi="Times New Roman" w:eastAsia="Times New Roman" w:cs="Times New Roman"/>
          <w:kern w:val="2"/>
          <w:sz w:val="24"/>
          <w:szCs w:val="24"/>
          <w:lang w:val="ru-RU" w:eastAsia="zh-CN"/>
        </w:rPr>
        <w:t>Н</w:t>
      </w:r>
      <w:r>
        <w:rPr>
          <w:rFonts w:ascii="Times New Roman" w:hAnsi="Times New Roman" w:eastAsia="Times New Roman" w:cs="Times New Roman"/>
          <w:kern w:val="2"/>
          <w:sz w:val="24"/>
          <w:szCs w:val="24"/>
          <w:lang w:eastAsia="zh-CN"/>
        </w:rPr>
        <w:t>алоговые расходы</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являются дополнительной</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 xml:space="preserve"> мерой поддержки для отдельных категорий налогоплательщиков.</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Исходя из значений критериев результативности налоговые расходы </w:t>
      </w:r>
      <w:r>
        <w:rPr>
          <w:rFonts w:ascii="Times New Roman" w:hAnsi="Times New Roman" w:eastAsia="Times New Roman" w:cs="Times New Roman"/>
          <w:kern w:val="2"/>
          <w:sz w:val="24"/>
          <w:szCs w:val="24"/>
          <w:lang w:val="ru-RU" w:eastAsia="zh-CN"/>
        </w:rPr>
        <w:t>района</w:t>
      </w:r>
      <w:r>
        <w:rPr>
          <w:rFonts w:hint="default" w:ascii="Times New Roman" w:hAnsi="Times New Roman" w:eastAsia="Times New Roman" w:cs="Times New Roman"/>
          <w:kern w:val="2"/>
          <w:sz w:val="24"/>
          <w:szCs w:val="24"/>
          <w:lang w:val="ru-RU" w:eastAsia="zh-CN"/>
        </w:rPr>
        <w:t xml:space="preserve"> </w:t>
      </w:r>
      <w:r>
        <w:rPr>
          <w:rFonts w:ascii="Times New Roman" w:hAnsi="Times New Roman" w:eastAsia="Times New Roman" w:cs="Times New Roman"/>
          <w:kern w:val="2"/>
          <w:sz w:val="24"/>
          <w:szCs w:val="24"/>
          <w:lang w:eastAsia="zh-CN"/>
        </w:rPr>
        <w:t xml:space="preserve">признаны  неэффективными в </w:t>
      </w:r>
      <w:r>
        <w:rPr>
          <w:rFonts w:hint="default" w:ascii="Times New Roman" w:hAnsi="Times New Roman" w:eastAsia="Times New Roman" w:cs="Times New Roman"/>
          <w:kern w:val="2"/>
          <w:sz w:val="24"/>
          <w:szCs w:val="24"/>
          <w:lang w:val="ru-RU" w:eastAsia="zh-CN"/>
        </w:rPr>
        <w:t>9-ти</w:t>
      </w:r>
      <w:r>
        <w:rPr>
          <w:rFonts w:ascii="Times New Roman" w:hAnsi="Times New Roman" w:eastAsia="Times New Roman" w:cs="Times New Roman"/>
          <w:kern w:val="2"/>
          <w:sz w:val="24"/>
          <w:szCs w:val="24"/>
          <w:lang w:eastAsia="zh-CN"/>
        </w:rPr>
        <w:t xml:space="preserve"> случаях</w:t>
      </w:r>
      <w:r>
        <w:rPr>
          <w:rFonts w:hint="default" w:ascii="Times New Roman" w:hAnsi="Times New Roman" w:eastAsia="Times New Roman" w:cs="Times New Roman"/>
          <w:kern w:val="2"/>
          <w:sz w:val="24"/>
          <w:szCs w:val="24"/>
          <w:lang w:val="ru-RU" w:eastAsia="zh-CN"/>
        </w:rPr>
        <w:t>, но, у</w:t>
      </w:r>
      <w:r>
        <w:rPr>
          <w:rFonts w:ascii="Times New Roman" w:hAnsi="Times New Roman" w:eastAsia="Times New Roman" w:cs="Times New Roman"/>
          <w:kern w:val="2"/>
          <w:sz w:val="24"/>
          <w:szCs w:val="24"/>
          <w:lang w:val="ru-RU" w:eastAsia="zh-CN"/>
        </w:rPr>
        <w:t>читывая</w:t>
      </w:r>
      <w:r>
        <w:rPr>
          <w:rFonts w:hint="default" w:ascii="Times New Roman" w:hAnsi="Times New Roman" w:eastAsia="Times New Roman" w:cs="Times New Roman"/>
          <w:kern w:val="2"/>
          <w:sz w:val="24"/>
          <w:szCs w:val="24"/>
          <w:lang w:val="ru-RU" w:eastAsia="zh-CN"/>
        </w:rPr>
        <w:t xml:space="preserve"> их направленность, а также принимая во внимание </w:t>
      </w:r>
      <w:r>
        <w:rPr>
          <w:rFonts w:ascii="Times New Roman" w:hAnsi="Times New Roman" w:eastAsia="Times New Roman" w:cs="Times New Roman"/>
          <w:kern w:val="2"/>
          <w:sz w:val="24"/>
          <w:szCs w:val="24"/>
          <w:lang w:eastAsia="zh-CN"/>
        </w:rPr>
        <w:t>предложения кураторов налоговых расходов, при формировании основных направлений налоговой и бюджетной политики района предлагается установленные на территории Белоярского района налоговые расходы, включенные в Перечень сохранить в полном составе.</w:t>
      </w:r>
    </w:p>
    <w:p>
      <w:pPr>
        <w:widowControl w:val="0"/>
        <w:tabs>
          <w:tab w:val="left" w:pos="1276"/>
        </w:tabs>
        <w:suppressAutoHyphens/>
        <w:autoSpaceDE w:val="0"/>
        <w:spacing w:after="0" w:line="240" w:lineRule="auto"/>
        <w:ind w:firstLine="709"/>
        <w:jc w:val="both"/>
        <w:textAlignment w:val="baseline"/>
        <w:rPr>
          <w:rFonts w:ascii="Times New Roman" w:hAnsi="Times New Roman" w:eastAsia="Times New Roman" w:cs="Times New Roman"/>
          <w:kern w:val="2"/>
          <w:sz w:val="24"/>
          <w:szCs w:val="24"/>
          <w:lang w:eastAsia="zh-CN"/>
        </w:rPr>
      </w:pPr>
    </w:p>
    <w:p>
      <w:pPr>
        <w:suppressAutoHyphens/>
        <w:spacing w:after="0" w:line="240" w:lineRule="auto"/>
        <w:ind w:firstLine="992"/>
        <w:jc w:val="both"/>
        <w:rPr>
          <w:rFonts w:ascii="Times New Roman" w:hAnsi="Times New Roman" w:eastAsia="Calibri" w:cs="Times New Roman"/>
          <w:sz w:val="24"/>
          <w:szCs w:val="24"/>
          <w:lang w:eastAsia="zh-CN"/>
        </w:rPr>
      </w:pPr>
    </w:p>
    <w:p>
      <w:pPr>
        <w:suppressAutoHyphens/>
        <w:spacing w:after="0" w:line="240" w:lineRule="auto"/>
        <w:ind w:firstLine="992"/>
        <w:jc w:val="both"/>
        <w:rPr>
          <w:rFonts w:ascii="Times New Roman" w:hAnsi="Times New Roman" w:eastAsia="Calibri" w:cs="Times New Roman"/>
          <w:sz w:val="24"/>
          <w:szCs w:val="24"/>
          <w:lang w:eastAsia="zh-CN"/>
        </w:rPr>
      </w:pPr>
    </w:p>
    <w:p>
      <w:pPr>
        <w:suppressAutoHyphens/>
        <w:spacing w:after="0" w:line="240" w:lineRule="auto"/>
        <w:jc w:val="both"/>
        <w:rPr>
          <w:rFonts w:ascii="Calibri" w:hAnsi="Calibri" w:eastAsia="Calibri" w:cs="Times New Roman"/>
          <w:lang w:eastAsia="zh-CN"/>
        </w:rPr>
      </w:pPr>
      <w:r>
        <w:rPr>
          <w:rFonts w:ascii="Times New Roman" w:hAnsi="Times New Roman" w:eastAsia="Calibri" w:cs="Times New Roman"/>
          <w:sz w:val="24"/>
          <w:szCs w:val="24"/>
          <w:lang w:eastAsia="zh-CN"/>
        </w:rPr>
        <w:t>Заместитель председателя Комитета по финансам и</w:t>
      </w:r>
    </w:p>
    <w:p>
      <w:pPr>
        <w:suppressAutoHyphens/>
        <w:spacing w:after="0" w:line="240" w:lineRule="auto"/>
        <w:jc w:val="both"/>
        <w:rPr>
          <w:rFonts w:ascii="Calibri" w:hAnsi="Calibri" w:eastAsia="Calibri" w:cs="Times New Roman"/>
          <w:lang w:eastAsia="zh-CN"/>
        </w:rPr>
      </w:pPr>
      <w:r>
        <w:rPr>
          <w:rFonts w:ascii="Times New Roman" w:hAnsi="Times New Roman" w:eastAsia="Calibri" w:cs="Times New Roman"/>
          <w:sz w:val="24"/>
          <w:szCs w:val="24"/>
          <w:lang w:eastAsia="zh-CN"/>
        </w:rPr>
        <w:t>налоговой политике администрации Белоярского района</w:t>
      </w:r>
    </w:p>
    <w:p>
      <w:pPr>
        <w:suppressAutoHyphens/>
        <w:spacing w:after="0" w:line="240" w:lineRule="auto"/>
        <w:jc w:val="both"/>
        <w:rPr>
          <w:rFonts w:ascii="Calibri" w:hAnsi="Calibri" w:eastAsia="Calibri" w:cs="Times New Roman"/>
          <w:lang w:eastAsia="zh-CN"/>
        </w:rPr>
      </w:pPr>
      <w:r>
        <w:rPr>
          <w:rFonts w:ascii="Times New Roman" w:hAnsi="Times New Roman" w:eastAsia="Calibri" w:cs="Times New Roman"/>
          <w:sz w:val="24"/>
          <w:szCs w:val="24"/>
          <w:lang w:eastAsia="zh-CN"/>
        </w:rPr>
        <w:t xml:space="preserve">по доходам                                                                                                            </w:t>
      </w:r>
      <w:r>
        <w:rPr>
          <w:rFonts w:hint="default" w:ascii="Times New Roman" w:hAnsi="Times New Roman" w:eastAsia="Calibri" w:cs="Times New Roman"/>
          <w:sz w:val="24"/>
          <w:szCs w:val="24"/>
          <w:lang w:val="ru-RU" w:eastAsia="zh-CN"/>
        </w:rPr>
        <w:t xml:space="preserve">    </w:t>
      </w:r>
      <w:r>
        <w:rPr>
          <w:rFonts w:ascii="Times New Roman" w:hAnsi="Times New Roman" w:eastAsia="Calibri" w:cs="Times New Roman"/>
          <w:sz w:val="24"/>
          <w:szCs w:val="24"/>
          <w:lang w:eastAsia="zh-CN"/>
        </w:rPr>
        <w:t xml:space="preserve">Т.М.Азанова </w:t>
      </w:r>
    </w:p>
    <w:p>
      <w:pPr>
        <w:suppressAutoHyphens/>
        <w:spacing w:after="0" w:line="240" w:lineRule="auto"/>
        <w:jc w:val="both"/>
        <w:rPr>
          <w:rFonts w:ascii="Times New Roman" w:hAnsi="Times New Roman" w:eastAsia="Calibri" w:cs="Times New Roman"/>
          <w:sz w:val="24"/>
          <w:szCs w:val="24"/>
          <w:lang w:eastAsia="zh-CN"/>
        </w:rPr>
      </w:pPr>
    </w:p>
    <w:p>
      <w:pPr>
        <w:suppressAutoHyphens/>
        <w:spacing w:after="0" w:line="240" w:lineRule="auto"/>
        <w:jc w:val="both"/>
        <w:rPr>
          <w:rFonts w:ascii="Times New Roman" w:hAnsi="Times New Roman" w:eastAsia="Calibri" w:cs="Times New Roman"/>
          <w:sz w:val="24"/>
          <w:szCs w:val="24"/>
          <w:lang w:eastAsia="zh-CN"/>
        </w:rPr>
      </w:pPr>
    </w:p>
    <w:p>
      <w:pPr>
        <w:suppressAutoHyphens/>
        <w:spacing w:after="0" w:line="240" w:lineRule="auto"/>
        <w:jc w:val="both"/>
        <w:rPr>
          <w:rFonts w:ascii="Times New Roman" w:hAnsi="Times New Roman" w:eastAsia="Calibri" w:cs="Times New Roman"/>
          <w:sz w:val="24"/>
          <w:szCs w:val="24"/>
          <w:lang w:eastAsia="zh-CN"/>
        </w:rPr>
      </w:pPr>
    </w:p>
    <w:p>
      <w:p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Начальник отдела прогнозирования </w:t>
      </w:r>
    </w:p>
    <w:p>
      <w:pPr>
        <w:suppressAutoHyphens/>
        <w:spacing w:after="0" w:line="240" w:lineRule="auto"/>
        <w:jc w:val="both"/>
      </w:pPr>
      <w:r>
        <w:rPr>
          <w:rFonts w:ascii="Times New Roman" w:hAnsi="Times New Roman" w:eastAsia="Calibri" w:cs="Times New Roman"/>
          <w:sz w:val="24"/>
          <w:szCs w:val="24"/>
          <w:lang w:eastAsia="zh-CN"/>
        </w:rPr>
        <w:t xml:space="preserve">доходов и финансов                             </w:t>
      </w:r>
      <w:r>
        <w:rPr>
          <w:rFonts w:hint="default" w:ascii="Times New Roman" w:hAnsi="Times New Roman" w:eastAsia="Calibri" w:cs="Times New Roman"/>
          <w:sz w:val="24"/>
          <w:szCs w:val="24"/>
          <w:lang w:val="ru-RU" w:eastAsia="zh-CN"/>
        </w:rPr>
        <w:t xml:space="preserve">                                                                </w:t>
      </w:r>
      <w:r>
        <w:rPr>
          <w:rFonts w:ascii="Times New Roman" w:hAnsi="Times New Roman" w:eastAsia="Calibri" w:cs="Times New Roman"/>
          <w:sz w:val="24"/>
          <w:szCs w:val="24"/>
          <w:lang w:eastAsia="zh-CN"/>
        </w:rPr>
        <w:t xml:space="preserve">      О.Н.Орлова</w:t>
      </w:r>
    </w:p>
    <w:p/>
    <w:p>
      <w:pPr>
        <w:rPr>
          <w:rFonts w:hint="default"/>
          <w:lang w:val="ru-RU"/>
        </w:rPr>
        <w:sectPr>
          <w:headerReference r:id="rId5" w:type="first"/>
          <w:footerReference r:id="rId6" w:type="first"/>
          <w:footnotePr>
            <w:pos w:val="beneathText"/>
          </w:footnotePr>
          <w:pgSz w:w="11906" w:h="16838"/>
          <w:pgMar w:top="1440" w:right="866" w:bottom="1440" w:left="1800" w:header="720" w:footer="720" w:gutter="0"/>
          <w:cols w:space="720" w:num="1"/>
          <w:docGrid w:linePitch="360" w:charSpace="0"/>
        </w:sectPr>
      </w:pPr>
      <w:r>
        <w:rPr>
          <w:rFonts w:hint="default"/>
          <w:lang w:val="ru-RU"/>
        </w:rPr>
        <w:t xml:space="preserve">       </w:t>
      </w:r>
    </w:p>
    <w:p/>
    <w:p>
      <w:pPr>
        <w:spacing w:after="0" w:line="240" w:lineRule="auto"/>
        <w:ind w:left="0" w:leftChars="0" w:firstLine="10120" w:firstLineChars="0"/>
        <w:rPr>
          <w:rFonts w:hint="default" w:ascii="Times New Roman" w:hAnsi="Times New Roman" w:cs="Times New Roman"/>
          <w:sz w:val="20"/>
          <w:szCs w:val="20"/>
          <w:lang w:val="ru-RU"/>
        </w:rPr>
      </w:pPr>
      <w:r>
        <w:rPr>
          <w:rFonts w:ascii="Times New Roman" w:hAnsi="Times New Roman" w:cs="Times New Roman"/>
          <w:sz w:val="20"/>
          <w:szCs w:val="20"/>
        </w:rPr>
        <w:t xml:space="preserve">ПРИЛОЖЕНИЕ </w:t>
      </w:r>
      <w:r>
        <w:rPr>
          <w:rFonts w:hint="default" w:ascii="Times New Roman" w:hAnsi="Times New Roman" w:cs="Times New Roman"/>
          <w:sz w:val="20"/>
          <w:szCs w:val="20"/>
          <w:lang w:val="ru-RU"/>
        </w:rPr>
        <w:t>1</w:t>
      </w:r>
      <w:bookmarkStart w:id="0" w:name="_GoBack"/>
      <w:bookmarkEnd w:id="0"/>
    </w:p>
    <w:p>
      <w:pPr>
        <w:spacing w:after="0" w:line="240" w:lineRule="auto"/>
        <w:ind w:left="0" w:leftChars="0" w:firstLine="10120" w:firstLineChars="0"/>
        <w:rPr>
          <w:rFonts w:ascii="Times New Roman" w:hAnsi="Times New Roman" w:cs="Times New Roman"/>
          <w:sz w:val="20"/>
          <w:szCs w:val="20"/>
        </w:rPr>
      </w:pPr>
      <w:r>
        <w:rPr>
          <w:rFonts w:ascii="Times New Roman" w:hAnsi="Times New Roman" w:cs="Times New Roman"/>
          <w:sz w:val="20"/>
          <w:szCs w:val="20"/>
        </w:rPr>
        <w:t>к аналитической записке о результатах оценки</w:t>
      </w:r>
    </w:p>
    <w:p>
      <w:pPr>
        <w:spacing w:after="0" w:line="240" w:lineRule="auto"/>
        <w:ind w:left="0" w:leftChars="0" w:firstLine="10120" w:firstLineChars="0"/>
        <w:rPr>
          <w:rFonts w:ascii="Times New Roman" w:hAnsi="Times New Roman" w:cs="Times New Roman"/>
          <w:sz w:val="20"/>
          <w:szCs w:val="20"/>
        </w:rPr>
      </w:pPr>
      <w:r>
        <w:rPr>
          <w:rFonts w:ascii="Times New Roman" w:hAnsi="Times New Roman" w:cs="Times New Roman"/>
          <w:sz w:val="20"/>
          <w:szCs w:val="20"/>
        </w:rPr>
        <w:t>эффективности предоставленных налоговых расходов</w:t>
      </w:r>
    </w:p>
    <w:p>
      <w:pPr>
        <w:spacing w:after="0" w:line="240" w:lineRule="auto"/>
        <w:ind w:left="0" w:leftChars="0" w:firstLine="10120" w:firstLineChars="0"/>
        <w:rPr>
          <w:rFonts w:ascii="Times New Roman" w:hAnsi="Times New Roman" w:cs="Times New Roman"/>
          <w:sz w:val="20"/>
          <w:szCs w:val="20"/>
        </w:rPr>
      </w:pPr>
      <w:r>
        <w:rPr>
          <w:rFonts w:ascii="Times New Roman" w:hAnsi="Times New Roman" w:cs="Times New Roman"/>
          <w:sz w:val="20"/>
          <w:szCs w:val="20"/>
        </w:rPr>
        <w:t>Белоярского района за 202</w:t>
      </w:r>
      <w:r>
        <w:rPr>
          <w:rFonts w:hint="default" w:ascii="Times New Roman" w:hAnsi="Times New Roman" w:cs="Times New Roman"/>
          <w:sz w:val="20"/>
          <w:szCs w:val="20"/>
          <w:lang w:val="ru-RU"/>
        </w:rPr>
        <w:t>1</w:t>
      </w:r>
      <w:r>
        <w:rPr>
          <w:rFonts w:ascii="Times New Roman" w:hAnsi="Times New Roman" w:cs="Times New Roman"/>
          <w:sz w:val="20"/>
          <w:szCs w:val="20"/>
        </w:rPr>
        <w:t xml:space="preserve"> год</w:t>
      </w:r>
    </w:p>
    <w:p>
      <w:pPr>
        <w:ind w:firstLine="4678"/>
        <w:rPr>
          <w:sz w:val="20"/>
          <w:szCs w:val="20"/>
        </w:rPr>
      </w:pPr>
    </w:p>
    <w:p>
      <w:pPr>
        <w:ind w:firstLine="4678"/>
        <w:rPr>
          <w:sz w:val="20"/>
          <w:szCs w:val="20"/>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Результаты оценки эффективности налоговых расходов</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Белоярского района за 202</w:t>
      </w:r>
      <w:r>
        <w:rPr>
          <w:rFonts w:hint="default" w:ascii="Times New Roman" w:hAnsi="Times New Roman" w:cs="Times New Roman"/>
          <w:b/>
          <w:sz w:val="28"/>
          <w:szCs w:val="28"/>
          <w:lang w:val="ru-RU"/>
        </w:rPr>
        <w:t>1</w:t>
      </w:r>
      <w:r>
        <w:rPr>
          <w:rFonts w:ascii="Times New Roman" w:hAnsi="Times New Roman" w:cs="Times New Roman"/>
          <w:b/>
          <w:sz w:val="28"/>
          <w:szCs w:val="28"/>
        </w:rPr>
        <w:t xml:space="preserve"> год</w:t>
      </w:r>
    </w:p>
    <w:p/>
    <w:p>
      <w:pPr>
        <w:jc w:val="right"/>
        <w:rPr>
          <w:rFonts w:ascii="Times New Roman" w:hAnsi="Times New Roman" w:cs="Times New Roman"/>
          <w:b/>
          <w:sz w:val="24"/>
          <w:szCs w:val="24"/>
        </w:rPr>
      </w:pPr>
      <w:r>
        <w:rPr>
          <w:rFonts w:ascii="Times New Roman" w:hAnsi="Times New Roman" w:cs="Times New Roman"/>
          <w:b/>
          <w:sz w:val="24"/>
          <w:szCs w:val="24"/>
        </w:rPr>
        <w:t>Таблица 1</w:t>
      </w:r>
    </w:p>
    <w:p>
      <w:pPr>
        <w:rPr>
          <w:b/>
        </w:rPr>
      </w:pPr>
      <w:r>
        <w:rPr>
          <w:rFonts w:ascii="Times New Roman" w:hAnsi="Times New Roman" w:cs="Times New Roman"/>
          <w:b/>
          <w:sz w:val="24"/>
          <w:szCs w:val="24"/>
        </w:rPr>
        <w:t>1. По земельному налогу:</w:t>
      </w:r>
    </w:p>
    <w:tbl>
      <w:tblPr>
        <w:tblStyle w:val="3"/>
        <w:tblW w:w="15075" w:type="dxa"/>
        <w:tblInd w:w="-162" w:type="dxa"/>
        <w:tblLayout w:type="fixed"/>
        <w:tblCellMar>
          <w:top w:w="0" w:type="dxa"/>
          <w:left w:w="10" w:type="dxa"/>
          <w:bottom w:w="0" w:type="dxa"/>
          <w:right w:w="10" w:type="dxa"/>
        </w:tblCellMar>
      </w:tblPr>
      <w:tblGrid>
        <w:gridCol w:w="284"/>
        <w:gridCol w:w="1928"/>
        <w:gridCol w:w="1875"/>
        <w:gridCol w:w="963"/>
        <w:gridCol w:w="1225"/>
        <w:gridCol w:w="1300"/>
        <w:gridCol w:w="1112"/>
        <w:gridCol w:w="1863"/>
        <w:gridCol w:w="1575"/>
        <w:gridCol w:w="1350"/>
        <w:gridCol w:w="1600"/>
      </w:tblGrid>
      <w:tr>
        <w:tblPrEx>
          <w:tblCellMar>
            <w:top w:w="0" w:type="dxa"/>
            <w:left w:w="10" w:type="dxa"/>
            <w:bottom w:w="0" w:type="dxa"/>
            <w:right w:w="10" w:type="dxa"/>
          </w:tblCellMar>
        </w:tblPrEx>
        <w:trPr>
          <w:tblHeader/>
        </w:trPr>
        <w:tc>
          <w:tcPr>
            <w:tcW w:w="284"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val="en-US" w:eastAsia="zh-CN" w:bidi="hi-IN"/>
              </w:rPr>
              <w:t>№</w:t>
            </w:r>
            <w:r>
              <w:rPr>
                <w:rFonts w:ascii="Times New Roman" w:hAnsi="Times New Roman" w:eastAsia="Times New Roman" w:cs="Times New Roman"/>
                <w:b/>
                <w:kern w:val="2"/>
                <w:sz w:val="14"/>
                <w:szCs w:val="14"/>
                <w:lang w:val="en-US" w:eastAsia="zh-CN" w:bidi="hi-IN"/>
              </w:rPr>
              <w:t xml:space="preserve"> </w:t>
            </w:r>
            <w:r>
              <w:rPr>
                <w:rFonts w:ascii="Times New Roman" w:hAnsi="Times New Roman" w:eastAsia="SimSun" w:cs="Mangal"/>
                <w:b/>
                <w:kern w:val="2"/>
                <w:sz w:val="14"/>
                <w:szCs w:val="14"/>
                <w:lang w:val="en-US" w:eastAsia="zh-CN" w:bidi="hi-IN"/>
              </w:rPr>
              <w:t>п/п</w:t>
            </w:r>
          </w:p>
        </w:tc>
        <w:tc>
          <w:tcPr>
            <w:tcW w:w="1928"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Наименование налогового расхода (налоговых льгот, освобождений и иных преференций)</w:t>
            </w:r>
          </w:p>
        </w:tc>
        <w:tc>
          <w:tcPr>
            <w:tcW w:w="187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Цели предоставления налоговых расходов</w:t>
            </w:r>
          </w:p>
        </w:tc>
        <w:tc>
          <w:tcPr>
            <w:tcW w:w="963"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Объем налоговых расходов (тыс. руб.)</w:t>
            </w:r>
          </w:p>
        </w:tc>
        <w:tc>
          <w:tcPr>
            <w:tcW w:w="122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Численность плательщиков налогов, воспользовавшихся налоговым расходом (единиц)</w:t>
            </w:r>
          </w:p>
        </w:tc>
        <w:tc>
          <w:tcPr>
            <w:tcW w:w="1300"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 xml:space="preserve">Востребованность плательщиками предоставленных налоговых расходов (коэффициент востребованности &gt; 0,3)                                 </w:t>
            </w:r>
          </w:p>
        </w:tc>
        <w:tc>
          <w:tcPr>
            <w:tcW w:w="1112"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 xml:space="preserve">Коэффициент эффективности вклада  (&gt; 0)                                  </w:t>
            </w:r>
          </w:p>
        </w:tc>
        <w:tc>
          <w:tcPr>
            <w:tcW w:w="1863"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Оценка вклада предусмотренного налогового расхода в изменение значения показателя (индикатора) достижения целей государственных программ автономного округа</w:t>
            </w:r>
          </w:p>
        </w:tc>
        <w:tc>
          <w:tcPr>
            <w:tcW w:w="157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Результат сравнительного анализа результативности</w:t>
            </w:r>
          </w:p>
        </w:tc>
        <w:tc>
          <w:tcPr>
            <w:tcW w:w="1350"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Бюджетный эффект (самоокупаемость)             (тыс. руб.)</w:t>
            </w:r>
          </w:p>
          <w:p>
            <w:pPr>
              <w:suppressAutoHyphens/>
              <w:spacing w:after="0" w:line="240" w:lineRule="auto"/>
              <w:jc w:val="center"/>
              <w:rPr>
                <w:rFonts w:ascii="Times New Roman" w:hAnsi="Times New Roman" w:eastAsia="SimSun" w:cs="Mangal"/>
                <w:b/>
                <w:kern w:val="2"/>
                <w:sz w:val="14"/>
                <w:szCs w:val="14"/>
                <w:lang w:eastAsia="zh-CN" w:bidi="hi-IN"/>
              </w:rPr>
            </w:pPr>
            <w:r>
              <w:rPr>
                <w:rFonts w:ascii="Times New Roman" w:hAnsi="Times New Roman" w:eastAsia="Times New Roman" w:cs="Times New Roman"/>
                <w:b/>
                <w:kern w:val="2"/>
                <w:sz w:val="14"/>
                <w:szCs w:val="14"/>
                <w:lang w:eastAsia="zh-CN" w:bidi="hi-IN"/>
              </w:rPr>
              <w:t xml:space="preserve"> </w:t>
            </w:r>
            <w:r>
              <w:rPr>
                <w:rFonts w:ascii="Times New Roman" w:hAnsi="Times New Roman" w:eastAsia="SimSun" w:cs="Mangal"/>
                <w:b/>
                <w:kern w:val="2"/>
                <w:sz w:val="14"/>
                <w:szCs w:val="14"/>
                <w:lang w:eastAsia="zh-CN" w:bidi="hi-IN"/>
              </w:rPr>
              <w:t>(&gt; 0)</w:t>
            </w:r>
            <w:r>
              <w:rPr>
                <w:rFonts w:ascii="Times New Roman" w:hAnsi="Times New Roman" w:eastAsia="SimSun" w:cs="Mangal"/>
                <w:b/>
                <w:kern w:val="2"/>
                <w:sz w:val="14"/>
                <w:szCs w:val="14"/>
                <w:vertAlign w:val="superscript"/>
                <w:lang w:eastAsia="zh-CN" w:bidi="hi-IN"/>
              </w:rPr>
              <w:footnoteReference w:id="0"/>
            </w:r>
          </w:p>
        </w:tc>
        <w:tc>
          <w:tcPr>
            <w:tcW w:w="1600" w:type="dxa"/>
            <w:tcBorders>
              <w:top w:val="single" w:color="000000" w:sz="4" w:space="0"/>
              <w:left w:val="single" w:color="000000" w:sz="4" w:space="0"/>
              <w:bottom w:val="single" w:color="000000"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Результат оценки эффективности налогового расхода</w:t>
            </w:r>
          </w:p>
          <w:p>
            <w:pPr>
              <w:suppressAutoHyphens/>
              <w:spacing w:after="0" w:line="240" w:lineRule="auto"/>
              <w:jc w:val="center"/>
              <w:rPr>
                <w:rFonts w:ascii="Times New Roman" w:hAnsi="Times New Roman" w:eastAsia="SimSun" w:cs="Mangal"/>
                <w:b/>
                <w:kern w:val="2"/>
                <w:sz w:val="14"/>
                <w:szCs w:val="14"/>
                <w:lang w:val="en-US" w:eastAsia="zh-CN" w:bidi="hi-IN"/>
              </w:rPr>
            </w:pPr>
          </w:p>
        </w:tc>
      </w:tr>
      <w:tr>
        <w:tblPrEx>
          <w:tblCellMar>
            <w:top w:w="0" w:type="dxa"/>
            <w:left w:w="10" w:type="dxa"/>
            <w:bottom w:w="0" w:type="dxa"/>
            <w:right w:w="10" w:type="dxa"/>
          </w:tblCellMar>
        </w:tblPrEx>
        <w:trPr>
          <w:trHeight w:val="264" w:hRule="atLeast"/>
          <w:tblHeader/>
        </w:trPr>
        <w:tc>
          <w:tcPr>
            <w:tcW w:w="284"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1</w:t>
            </w:r>
          </w:p>
        </w:tc>
        <w:tc>
          <w:tcPr>
            <w:tcW w:w="1928"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2</w:t>
            </w:r>
          </w:p>
        </w:tc>
        <w:tc>
          <w:tcPr>
            <w:tcW w:w="1875"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3</w:t>
            </w:r>
          </w:p>
        </w:tc>
        <w:tc>
          <w:tcPr>
            <w:tcW w:w="963"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4</w:t>
            </w:r>
          </w:p>
        </w:tc>
        <w:tc>
          <w:tcPr>
            <w:tcW w:w="1225"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5</w:t>
            </w:r>
          </w:p>
        </w:tc>
        <w:tc>
          <w:tcPr>
            <w:tcW w:w="1300"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6</w:t>
            </w:r>
          </w:p>
        </w:tc>
        <w:tc>
          <w:tcPr>
            <w:tcW w:w="1112"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7</w:t>
            </w:r>
          </w:p>
        </w:tc>
        <w:tc>
          <w:tcPr>
            <w:tcW w:w="1863"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8</w:t>
            </w:r>
          </w:p>
        </w:tc>
        <w:tc>
          <w:tcPr>
            <w:tcW w:w="1575"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9</w:t>
            </w:r>
          </w:p>
        </w:tc>
        <w:tc>
          <w:tcPr>
            <w:tcW w:w="1350"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10</w:t>
            </w:r>
          </w:p>
        </w:tc>
        <w:tc>
          <w:tcPr>
            <w:tcW w:w="1600" w:type="dxa"/>
            <w:tcBorders>
              <w:top w:val="nil"/>
              <w:left w:val="single" w:color="000000" w:sz="4" w:space="0"/>
              <w:bottom w:val="single" w:color="000000" w:sz="4" w:space="0"/>
              <w:right w:val="single" w:color="000000" w:sz="4" w:space="0"/>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11</w:t>
            </w:r>
          </w:p>
        </w:tc>
      </w:tr>
      <w:tr>
        <w:tblPrEx>
          <w:tblCellMar>
            <w:top w:w="0" w:type="dxa"/>
            <w:left w:w="10" w:type="dxa"/>
            <w:bottom w:w="0" w:type="dxa"/>
            <w:right w:w="10" w:type="dxa"/>
          </w:tblCellMar>
        </w:tblPrEx>
        <w:trPr>
          <w:trHeight w:val="216" w:hRule="atLeast"/>
        </w:trPr>
        <w:tc>
          <w:tcPr>
            <w:tcW w:w="15075" w:type="dxa"/>
            <w:gridSpan w:val="11"/>
            <w:tcBorders>
              <w:top w:val="nil"/>
              <w:left w:val="single" w:color="000000" w:sz="4" w:space="0"/>
              <w:bottom w:val="single" w:color="000000" w:sz="4" w:space="0"/>
              <w:right w:val="single" w:color="000000" w:sz="4" w:space="0"/>
            </w:tcBorders>
            <w:tcMar>
              <w:top w:w="55" w:type="dxa"/>
              <w:left w:w="55" w:type="dxa"/>
              <w:bottom w:w="55" w:type="dxa"/>
              <w:right w:w="55" w:type="dxa"/>
            </w:tcMar>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Times New Roman" w:cs="Times New Roman"/>
                <w:b/>
                <w:kern w:val="2"/>
                <w:sz w:val="24"/>
                <w:szCs w:val="24"/>
                <w:lang w:eastAsia="zh-CN"/>
              </w:rPr>
              <w:t>1. Муниципальная программа Белоярского района «Управление муниципальными финансами в Белоярском районе»</w:t>
            </w:r>
          </w:p>
        </w:tc>
      </w:tr>
      <w:tr>
        <w:tblPrEx>
          <w:tblCellMar>
            <w:top w:w="0" w:type="dxa"/>
            <w:left w:w="10" w:type="dxa"/>
            <w:bottom w:w="0" w:type="dxa"/>
            <w:right w:w="10" w:type="dxa"/>
          </w:tblCellMar>
        </w:tblPrEx>
        <w:trPr>
          <w:trHeight w:val="1505" w:hRule="atLeast"/>
        </w:trPr>
        <w:tc>
          <w:tcPr>
            <w:tcW w:w="284" w:type="dxa"/>
            <w:tcBorders>
              <w:top w:val="nil"/>
              <w:left w:val="single" w:color="000000" w:sz="4" w:space="0"/>
              <w:bottom w:val="single" w:color="000000" w:sz="4" w:space="0"/>
              <w:right w:val="nil"/>
            </w:tcBorders>
            <w:vAlign w:val="center"/>
          </w:tcPr>
          <w:p>
            <w:pPr>
              <w:suppressLineNumbers/>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1</w:t>
            </w:r>
          </w:p>
        </w:tc>
        <w:tc>
          <w:tcPr>
            <w:tcW w:w="19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Освобождение от уплаты налога органов местного самоуправления </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Исключение встречных финансовых потоков, оптимизации бюджетных расходов</w:t>
            </w:r>
          </w:p>
        </w:tc>
        <w:tc>
          <w:tcPr>
            <w:tcW w:w="963"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color w:val="000000"/>
                <w:kern w:val="2"/>
                <w:sz w:val="18"/>
                <w:szCs w:val="18"/>
                <w:lang w:eastAsia="zh-CN" w:bidi="hi-IN"/>
              </w:rPr>
            </w:pPr>
            <w:r>
              <w:rPr>
                <w:rFonts w:ascii="Times New Roman" w:hAnsi="Times New Roman" w:eastAsia="SimSun" w:cs="Times New Roman"/>
                <w:color w:val="000000"/>
                <w:kern w:val="2"/>
                <w:sz w:val="18"/>
                <w:szCs w:val="18"/>
                <w:lang w:eastAsia="zh-CN" w:bidi="hi-IN"/>
              </w:rPr>
              <w:t>0,00</w:t>
            </w:r>
          </w:p>
        </w:tc>
        <w:tc>
          <w:tcPr>
            <w:tcW w:w="1225"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0</w:t>
            </w:r>
          </w:p>
        </w:tc>
        <w:tc>
          <w:tcPr>
            <w:tcW w:w="1300"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 не востребован</w:t>
            </w:r>
          </w:p>
        </w:tc>
        <w:tc>
          <w:tcPr>
            <w:tcW w:w="1112"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w:t>
            </w:r>
          </w:p>
        </w:tc>
        <w:tc>
          <w:tcPr>
            <w:tcW w:w="1863"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 результативный</w:t>
            </w:r>
          </w:p>
        </w:tc>
        <w:tc>
          <w:tcPr>
            <w:tcW w:w="1575" w:type="dxa"/>
            <w:tcBorders>
              <w:top w:val="nil"/>
              <w:left w:val="single" w:color="000000" w:sz="4" w:space="0"/>
              <w:bottom w:val="single" w:color="000000" w:sz="4" w:space="0"/>
              <w:right w:val="nil"/>
            </w:tcBorders>
          </w:tcPr>
          <w:p>
            <w:pPr>
              <w:suppressAutoHyphens/>
              <w:spacing w:after="0" w:line="240" w:lineRule="auto"/>
              <w:jc w:val="center"/>
              <w:rPr>
                <w:rFonts w:hint="default" w:ascii="Times New Roman" w:hAnsi="Times New Roman" w:eastAsia="Times New Roman" w:cs="Times New Roman"/>
                <w:kern w:val="2"/>
                <w:sz w:val="18"/>
                <w:szCs w:val="18"/>
                <w:lang w:val="ru-RU" w:eastAsia="zh-CN"/>
              </w:rPr>
            </w:pPr>
            <w:r>
              <w:rPr>
                <w:rFonts w:ascii="Times New Roman" w:hAnsi="Times New Roman" w:eastAsia="Times New Roman" w:cs="Times New Roman"/>
                <w:kern w:val="2"/>
                <w:sz w:val="18"/>
                <w:szCs w:val="18"/>
                <w:lang w:eastAsia="zh-CN"/>
              </w:rPr>
              <w:t xml:space="preserve">Налоговый расход  </w:t>
            </w:r>
            <w:r>
              <w:rPr>
                <w:rFonts w:ascii="Times New Roman" w:hAnsi="Times New Roman" w:eastAsia="Times New Roman" w:cs="Times New Roman"/>
                <w:kern w:val="2"/>
                <w:sz w:val="18"/>
                <w:szCs w:val="18"/>
                <w:lang w:val="ru-RU" w:eastAsia="zh-CN"/>
              </w:rPr>
              <w:t>относительно</w:t>
            </w:r>
            <w:r>
              <w:rPr>
                <w:rFonts w:hint="default" w:ascii="Times New Roman" w:hAnsi="Times New Roman" w:eastAsia="Times New Roman" w:cs="Times New Roman"/>
                <w:kern w:val="2"/>
                <w:sz w:val="18"/>
                <w:szCs w:val="18"/>
                <w:lang w:val="ru-RU" w:eastAsia="zh-CN"/>
              </w:rPr>
              <w:t xml:space="preserve"> экономный </w:t>
            </w:r>
          </w:p>
        </w:tc>
        <w:tc>
          <w:tcPr>
            <w:tcW w:w="1350"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Х</w:t>
            </w:r>
          </w:p>
        </w:tc>
        <w:tc>
          <w:tcPr>
            <w:tcW w:w="1600" w:type="dxa"/>
            <w:tcBorders>
              <w:top w:val="nil"/>
              <w:left w:val="single" w:color="000000" w:sz="4" w:space="0"/>
              <w:bottom w:val="single" w:color="000000"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недостаточно эффективный</w:t>
            </w:r>
          </w:p>
        </w:tc>
      </w:tr>
      <w:tr>
        <w:tblPrEx>
          <w:tblCellMar>
            <w:top w:w="0" w:type="dxa"/>
            <w:left w:w="10" w:type="dxa"/>
            <w:bottom w:w="0" w:type="dxa"/>
            <w:right w:w="10" w:type="dxa"/>
          </w:tblCellMar>
        </w:tblPrEx>
        <w:tc>
          <w:tcPr>
            <w:tcW w:w="284" w:type="dxa"/>
            <w:tcBorders>
              <w:top w:val="nil"/>
              <w:left w:val="single" w:color="000000" w:sz="4" w:space="0"/>
              <w:bottom w:val="single" w:color="auto" w:sz="4" w:space="0"/>
              <w:right w:val="nil"/>
            </w:tcBorders>
            <w:vAlign w:val="center"/>
          </w:tcPr>
          <w:p>
            <w:pPr>
              <w:suppressLineNumbers/>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2</w:t>
            </w:r>
          </w:p>
        </w:tc>
        <w:tc>
          <w:tcPr>
            <w:tcW w:w="1928" w:type="dxa"/>
            <w:tcBorders>
              <w:top w:val="nil"/>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Освобождение от уплаты налога муниципальных учреждений Белоярского района</w:t>
            </w:r>
          </w:p>
        </w:tc>
        <w:tc>
          <w:tcPr>
            <w:tcW w:w="1875" w:type="dxa"/>
            <w:tcBorders>
              <w:top w:val="nil"/>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Исключение встречных финансовых потоков, оптимизации бюджетных расходов</w:t>
            </w:r>
          </w:p>
        </w:tc>
        <w:tc>
          <w:tcPr>
            <w:tcW w:w="9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color w:val="000000"/>
                <w:kern w:val="2"/>
                <w:sz w:val="18"/>
                <w:szCs w:val="18"/>
                <w:lang w:eastAsia="zh-CN" w:bidi="hi-IN"/>
              </w:rPr>
            </w:pPr>
            <w:r>
              <w:rPr>
                <w:rFonts w:ascii="Times New Roman" w:hAnsi="Times New Roman" w:eastAsia="SimSun" w:cs="Times New Roman"/>
                <w:color w:val="000000"/>
                <w:kern w:val="2"/>
                <w:sz w:val="18"/>
                <w:szCs w:val="18"/>
                <w:lang w:eastAsia="zh-CN" w:bidi="hi-IN"/>
              </w:rPr>
              <w:t>0,00</w:t>
            </w:r>
          </w:p>
        </w:tc>
        <w:tc>
          <w:tcPr>
            <w:tcW w:w="122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0</w:t>
            </w:r>
          </w:p>
        </w:tc>
        <w:tc>
          <w:tcPr>
            <w:tcW w:w="130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 не востребован</w:t>
            </w:r>
          </w:p>
        </w:tc>
        <w:tc>
          <w:tcPr>
            <w:tcW w:w="1112"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w:t>
            </w:r>
          </w:p>
        </w:tc>
        <w:tc>
          <w:tcPr>
            <w:tcW w:w="18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 результативный</w:t>
            </w:r>
          </w:p>
        </w:tc>
        <w:tc>
          <w:tcPr>
            <w:tcW w:w="157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 xml:space="preserve">Налоговый расход  </w:t>
            </w:r>
            <w:r>
              <w:rPr>
                <w:rFonts w:ascii="Times New Roman" w:hAnsi="Times New Roman" w:eastAsia="Times New Roman" w:cs="Times New Roman"/>
                <w:kern w:val="2"/>
                <w:sz w:val="18"/>
                <w:szCs w:val="18"/>
                <w:lang w:val="ru-RU" w:eastAsia="zh-CN"/>
              </w:rPr>
              <w:t>относительно</w:t>
            </w:r>
            <w:r>
              <w:rPr>
                <w:rFonts w:hint="default" w:ascii="Times New Roman" w:hAnsi="Times New Roman" w:eastAsia="Times New Roman" w:cs="Times New Roman"/>
                <w:kern w:val="2"/>
                <w:sz w:val="18"/>
                <w:szCs w:val="18"/>
                <w:lang w:val="ru-RU" w:eastAsia="zh-CN"/>
              </w:rPr>
              <w:t xml:space="preserve"> экономный </w:t>
            </w:r>
          </w:p>
        </w:tc>
        <w:tc>
          <w:tcPr>
            <w:tcW w:w="135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Х</w:t>
            </w:r>
          </w:p>
        </w:tc>
        <w:tc>
          <w:tcPr>
            <w:tcW w:w="1600" w:type="dxa"/>
            <w:tcBorders>
              <w:top w:val="nil"/>
              <w:left w:val="single" w:color="000000" w:sz="4" w:space="0"/>
              <w:bottom w:val="single" w:color="auto"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недостаточно эффективный</w:t>
            </w:r>
          </w:p>
        </w:tc>
      </w:tr>
      <w:tr>
        <w:tblPrEx>
          <w:tblCellMar>
            <w:top w:w="0" w:type="dxa"/>
            <w:left w:w="10" w:type="dxa"/>
            <w:bottom w:w="0" w:type="dxa"/>
            <w:right w:w="10" w:type="dxa"/>
          </w:tblCellMar>
        </w:tblPrEx>
        <w:tc>
          <w:tcPr>
            <w:tcW w:w="15075" w:type="dxa"/>
            <w:gridSpan w:val="11"/>
            <w:tcBorders>
              <w:top w:val="single" w:color="auto" w:sz="4" w:space="0"/>
              <w:left w:val="single" w:color="auto" w:sz="4" w:space="0"/>
              <w:bottom w:val="single" w:color="auto" w:sz="4" w:space="0"/>
              <w:right w:val="single" w:color="auto" w:sz="4" w:space="0"/>
            </w:tcBorders>
          </w:tcPr>
          <w:p>
            <w:pPr>
              <w:suppressAutoHyphens/>
              <w:spacing w:after="0" w:line="240" w:lineRule="auto"/>
              <w:jc w:val="center"/>
              <w:rPr>
                <w:rFonts w:ascii="Times New Roman" w:hAnsi="Times New Roman" w:eastAsia="Times New Roman" w:cs="Times New Roman"/>
                <w:b/>
                <w:kern w:val="2"/>
                <w:sz w:val="24"/>
                <w:szCs w:val="24"/>
                <w:lang w:eastAsia="zh-CN"/>
              </w:rPr>
            </w:pPr>
            <w:r>
              <w:rPr>
                <w:rFonts w:ascii="Times New Roman" w:hAnsi="Times New Roman" w:eastAsia="Times New Roman" w:cs="Times New Roman"/>
                <w:b/>
                <w:kern w:val="2"/>
                <w:sz w:val="24"/>
                <w:szCs w:val="24"/>
                <w:lang w:eastAsia="zh-CN"/>
              </w:rPr>
              <w:t>2. Муниципальная программа Белоярского района «Развитие социальной политики на территории Белоярского района»</w:t>
            </w:r>
          </w:p>
        </w:tc>
      </w:tr>
      <w:tr>
        <w:tc>
          <w:tcPr>
            <w:tcW w:w="2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Освобождение от уплаты налога ветеранов и инвалидов Великой Отечественной войны</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Социальная поддержки  отдельных категорий граждан, повышения качества жизни жителей района</w:t>
            </w:r>
          </w:p>
        </w:tc>
        <w:tc>
          <w:tcPr>
            <w:tcW w:w="9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color w:val="000000"/>
                <w:kern w:val="2"/>
                <w:sz w:val="18"/>
                <w:szCs w:val="18"/>
                <w:lang w:eastAsia="zh-CN" w:bidi="hi-IN"/>
              </w:rPr>
            </w:pPr>
            <w:r>
              <w:rPr>
                <w:rFonts w:ascii="Times New Roman" w:hAnsi="Times New Roman" w:eastAsia="SimSun" w:cs="Times New Roman"/>
                <w:color w:val="000000"/>
                <w:kern w:val="2"/>
                <w:sz w:val="18"/>
                <w:szCs w:val="18"/>
                <w:lang w:eastAsia="zh-CN" w:bidi="hi-IN"/>
              </w:rPr>
              <w:t>0,00</w:t>
            </w:r>
          </w:p>
        </w:tc>
        <w:tc>
          <w:tcPr>
            <w:tcW w:w="122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0</w:t>
            </w:r>
          </w:p>
        </w:tc>
        <w:tc>
          <w:tcPr>
            <w:tcW w:w="130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 не востребован</w:t>
            </w:r>
          </w:p>
        </w:tc>
        <w:tc>
          <w:tcPr>
            <w:tcW w:w="1112"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w:t>
            </w:r>
          </w:p>
        </w:tc>
        <w:tc>
          <w:tcPr>
            <w:tcW w:w="18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 результативный</w:t>
            </w:r>
          </w:p>
        </w:tc>
        <w:tc>
          <w:tcPr>
            <w:tcW w:w="157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 xml:space="preserve">Налоговый расход  </w:t>
            </w:r>
            <w:r>
              <w:rPr>
                <w:rFonts w:ascii="Times New Roman" w:hAnsi="Times New Roman" w:eastAsia="Times New Roman" w:cs="Times New Roman"/>
                <w:kern w:val="2"/>
                <w:sz w:val="18"/>
                <w:szCs w:val="18"/>
                <w:lang w:val="ru-RU" w:eastAsia="zh-CN"/>
              </w:rPr>
              <w:t>относительно</w:t>
            </w:r>
            <w:r>
              <w:rPr>
                <w:rFonts w:hint="default" w:ascii="Times New Roman" w:hAnsi="Times New Roman" w:eastAsia="Times New Roman" w:cs="Times New Roman"/>
                <w:kern w:val="2"/>
                <w:sz w:val="18"/>
                <w:szCs w:val="18"/>
                <w:lang w:val="ru-RU" w:eastAsia="zh-CN"/>
              </w:rPr>
              <w:t xml:space="preserve"> экономный </w:t>
            </w:r>
          </w:p>
        </w:tc>
        <w:tc>
          <w:tcPr>
            <w:tcW w:w="135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Х</w:t>
            </w:r>
          </w:p>
        </w:tc>
        <w:tc>
          <w:tcPr>
            <w:tcW w:w="1600" w:type="dxa"/>
            <w:tcBorders>
              <w:top w:val="nil"/>
              <w:left w:val="single" w:color="000000" w:sz="4" w:space="0"/>
              <w:bottom w:val="single" w:color="auto"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недостаточно эффективный</w:t>
            </w:r>
          </w:p>
        </w:tc>
      </w:tr>
      <w:tr>
        <w:tblPrEx>
          <w:tblCellMar>
            <w:top w:w="0" w:type="dxa"/>
            <w:left w:w="10" w:type="dxa"/>
            <w:bottom w:w="0" w:type="dxa"/>
            <w:right w:w="10" w:type="dxa"/>
          </w:tblCellMar>
        </w:tblPrEx>
        <w:tc>
          <w:tcPr>
            <w:tcW w:w="284" w:type="dxa"/>
            <w:tcBorders>
              <w:top w:val="single" w:color="auto" w:sz="4" w:space="0"/>
              <w:left w:val="single" w:color="auto" w:sz="4" w:space="0"/>
              <w:bottom w:val="single" w:color="auto" w:sz="4" w:space="0"/>
              <w:right w:val="single" w:color="auto" w:sz="4" w:space="0"/>
            </w:tcBorders>
            <w:vAlign w:val="center"/>
          </w:tcPr>
          <w:p>
            <w:pPr>
              <w:suppressLineNumbers/>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928" w:type="dxa"/>
            <w:tcBorders>
              <w:top w:val="nil"/>
              <w:left w:val="single" w:color="auto" w:sz="4" w:space="0"/>
              <w:bottom w:val="single" w:color="auto" w:sz="4" w:space="0"/>
              <w:right w:val="single" w:color="auto" w:sz="4" w:space="0"/>
            </w:tcBorders>
            <w:shd w:val="clear" w:color="auto" w:fill="auto"/>
            <w:vAlign w:val="top"/>
          </w:tcPr>
          <w:p>
            <w:pPr>
              <w:suppressLineNumbers/>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Освобождение от уплаты налога социально ориентированных некоммерческих организаций</w:t>
            </w:r>
          </w:p>
        </w:tc>
        <w:tc>
          <w:tcPr>
            <w:tcW w:w="1875"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Создание условий для развития институтов гражданского общества и реализации гражданских инициатив</w:t>
            </w:r>
          </w:p>
        </w:tc>
        <w:tc>
          <w:tcPr>
            <w:tcW w:w="9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22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30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 не востребован</w:t>
            </w:r>
          </w:p>
        </w:tc>
        <w:tc>
          <w:tcPr>
            <w:tcW w:w="1112"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8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Налоговый расход не результативный</w:t>
            </w:r>
          </w:p>
        </w:tc>
        <w:tc>
          <w:tcPr>
            <w:tcW w:w="157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eastAsia="Times New Roman" w:cs="Times New Roman"/>
                <w:kern w:val="2"/>
                <w:sz w:val="18"/>
                <w:szCs w:val="18"/>
                <w:lang w:eastAsia="zh-CN"/>
              </w:rPr>
              <w:t xml:space="preserve">Налоговый расход  </w:t>
            </w:r>
            <w:r>
              <w:rPr>
                <w:rFonts w:ascii="Times New Roman" w:hAnsi="Times New Roman" w:eastAsia="Times New Roman" w:cs="Times New Roman"/>
                <w:kern w:val="2"/>
                <w:sz w:val="18"/>
                <w:szCs w:val="18"/>
                <w:lang w:val="ru-RU" w:eastAsia="zh-CN"/>
              </w:rPr>
              <w:t>относительно</w:t>
            </w:r>
            <w:r>
              <w:rPr>
                <w:rFonts w:hint="default" w:ascii="Times New Roman" w:hAnsi="Times New Roman" w:eastAsia="Times New Roman" w:cs="Times New Roman"/>
                <w:kern w:val="2"/>
                <w:sz w:val="18"/>
                <w:szCs w:val="18"/>
                <w:lang w:val="ru-RU" w:eastAsia="zh-CN"/>
              </w:rPr>
              <w:t xml:space="preserve"> экономный </w:t>
            </w:r>
          </w:p>
        </w:tc>
        <w:tc>
          <w:tcPr>
            <w:tcW w:w="135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Х</w:t>
            </w:r>
          </w:p>
        </w:tc>
        <w:tc>
          <w:tcPr>
            <w:tcW w:w="1600" w:type="dxa"/>
            <w:tcBorders>
              <w:top w:val="nil"/>
              <w:left w:val="single" w:color="000000" w:sz="4" w:space="0"/>
              <w:bottom w:val="single" w:color="auto" w:sz="4" w:space="0"/>
              <w:right w:val="single" w:color="000000" w:sz="4" w:space="0"/>
            </w:tcBorders>
          </w:tcPr>
          <w:p>
            <w:pPr>
              <w:suppressAutoHyphen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Налоговый расход недостаточно эффективный</w:t>
            </w:r>
          </w:p>
        </w:tc>
      </w:tr>
      <w:tr>
        <w:tblPrEx>
          <w:tblCellMar>
            <w:top w:w="0" w:type="dxa"/>
            <w:left w:w="10" w:type="dxa"/>
            <w:bottom w:w="0" w:type="dxa"/>
            <w:right w:w="10" w:type="dxa"/>
          </w:tblCellMar>
        </w:tblPrEx>
        <w:tc>
          <w:tcPr>
            <w:tcW w:w="15075" w:type="dxa"/>
            <w:gridSpan w:val="11"/>
            <w:tcBorders>
              <w:top w:val="single" w:color="auto" w:sz="4" w:space="0"/>
              <w:left w:val="single" w:color="auto" w:sz="4" w:space="0"/>
              <w:bottom w:val="single" w:color="auto" w:sz="4" w:space="0"/>
              <w:right w:val="single" w:color="auto" w:sz="4" w:space="0"/>
            </w:tcBorders>
          </w:tcPr>
          <w:p>
            <w:pPr>
              <w:numPr>
                <w:ilvl w:val="0"/>
                <w:numId w:val="3"/>
              </w:numPr>
              <w:suppressAutoHyphens/>
              <w:spacing w:after="0" w:line="240" w:lineRule="auto"/>
              <w:ind w:left="220" w:leftChars="0" w:firstLineChars="0"/>
              <w:jc w:val="center"/>
              <w:rPr>
                <w:rFonts w:ascii="Times New Roman" w:hAnsi="Times New Roman" w:eastAsia="Times New Roman" w:cs="Times New Roman"/>
                <w:b/>
                <w:kern w:val="2"/>
                <w:sz w:val="24"/>
                <w:szCs w:val="24"/>
                <w:lang w:eastAsia="zh-CN"/>
              </w:rPr>
            </w:pPr>
            <w:r>
              <w:rPr>
                <w:rFonts w:ascii="Times New Roman" w:hAnsi="Times New Roman" w:eastAsia="Times New Roman" w:cs="Times New Roman"/>
                <w:b/>
                <w:kern w:val="2"/>
                <w:sz w:val="24"/>
                <w:szCs w:val="24"/>
                <w:lang w:eastAsia="zh-CN"/>
              </w:rPr>
              <w:t xml:space="preserve">Муниципальная программа Белоярского района «Обеспечение доступным и комфортным жильем </w:t>
            </w:r>
          </w:p>
          <w:p>
            <w:pPr>
              <w:numPr>
                <w:ilvl w:val="0"/>
                <w:numId w:val="0"/>
              </w:numPr>
              <w:suppressAutoHyphens/>
              <w:spacing w:after="0" w:line="240" w:lineRule="auto"/>
              <w:ind w:firstLine="4922" w:firstLineChars="2050"/>
              <w:jc w:val="both"/>
              <w:rPr>
                <w:rFonts w:ascii="Times New Roman" w:hAnsi="Times New Roman" w:eastAsia="Times New Roman" w:cs="Times New Roman"/>
                <w:kern w:val="2"/>
                <w:sz w:val="18"/>
                <w:szCs w:val="18"/>
                <w:lang w:eastAsia="zh-CN"/>
              </w:rPr>
            </w:pPr>
            <w:r>
              <w:rPr>
                <w:rFonts w:ascii="Times New Roman" w:hAnsi="Times New Roman" w:eastAsia="Times New Roman" w:cs="Times New Roman"/>
                <w:b/>
                <w:kern w:val="2"/>
                <w:sz w:val="24"/>
                <w:szCs w:val="24"/>
                <w:lang w:eastAsia="zh-CN"/>
              </w:rPr>
              <w:t>жителей Белоярского района»</w:t>
            </w:r>
          </w:p>
        </w:tc>
      </w:tr>
      <w:tr>
        <w:tblPrEx>
          <w:tblCellMar>
            <w:top w:w="0" w:type="dxa"/>
            <w:left w:w="10" w:type="dxa"/>
            <w:bottom w:w="0" w:type="dxa"/>
            <w:right w:w="10" w:type="dxa"/>
          </w:tblCellMar>
        </w:tblPrEx>
        <w:tc>
          <w:tcPr>
            <w:tcW w:w="284" w:type="dxa"/>
            <w:tcBorders>
              <w:top w:val="single" w:color="auto" w:sz="4" w:space="0"/>
              <w:left w:val="single" w:color="auto" w:sz="4" w:space="0"/>
              <w:bottom w:val="single" w:color="auto" w:sz="4" w:space="0"/>
              <w:right w:val="single" w:color="auto" w:sz="4" w:space="0"/>
            </w:tcBorders>
            <w:vAlign w:val="center"/>
          </w:tcPr>
          <w:p>
            <w:pPr>
              <w:suppressLineNumbers/>
              <w:suppressAutoHyphens/>
              <w:spacing w:after="0" w:line="240" w:lineRule="auto"/>
              <w:jc w:val="center"/>
              <w:rPr>
                <w:rFonts w:hint="default" w:ascii="Times New Roman" w:hAnsi="Times New Roman" w:eastAsia="Times New Roman" w:cs="Times New Roman"/>
                <w:kern w:val="2"/>
                <w:sz w:val="18"/>
                <w:szCs w:val="18"/>
                <w:lang w:val="ru-RU" w:eastAsia="zh-CN"/>
              </w:rPr>
            </w:pPr>
            <w:r>
              <w:rPr>
                <w:rFonts w:hint="default" w:ascii="Times New Roman" w:hAnsi="Times New Roman" w:eastAsia="Times New Roman" w:cs="Times New Roman"/>
                <w:kern w:val="2"/>
                <w:sz w:val="18"/>
                <w:szCs w:val="18"/>
                <w:lang w:val="ru-RU" w:eastAsia="zh-CN"/>
              </w:rPr>
              <w:t>5</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HAnsi"/>
                <w:color w:val="000000"/>
                <w:sz w:val="18"/>
                <w:szCs w:val="18"/>
                <w:lang w:val="ru-RU" w:eastAsia="en-US" w:bidi="ar-SA"/>
              </w:rPr>
            </w:pPr>
            <w:r>
              <w:rPr>
                <w:rFonts w:hint="default" w:ascii="Times New Roman" w:hAnsi="Times New Roman" w:cs="Times New Roman" w:eastAsiaTheme="minorHAnsi"/>
                <w:color w:val="000000"/>
                <w:sz w:val="18"/>
                <w:szCs w:val="18"/>
                <w:lang w:val="en-US" w:eastAsia="zh-CN" w:bidi="ar-SA"/>
              </w:rPr>
              <w:t>Освобождение от уплаты налога организаций в отношении земельных участков, в границах которых реализуются инвестиционные проекты в соответствии с соглашением о защите и поощрении капиталовложений</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lang w:val="ru-RU" w:eastAsia="en-US"/>
              </w:rPr>
            </w:pPr>
            <w:r>
              <w:rPr>
                <w:rFonts w:hint="default" w:ascii="Times New Roman" w:hAnsi="Times New Roman" w:cs="Times New Roman" w:eastAsiaTheme="minorHAnsi"/>
                <w:color w:val="000000"/>
                <w:sz w:val="18"/>
                <w:szCs w:val="18"/>
                <w:lang w:val="en-US" w:eastAsia="zh-CN" w:bidi="ar-SA"/>
              </w:rPr>
              <w:t>Освобождение от уплаты налога организаций в отношении земельных участков, в границах которых реализуются инвестиционные проекты в соответствии с соглашением о защите и поощрении капиталовложений</w:t>
            </w:r>
          </w:p>
        </w:tc>
        <w:tc>
          <w:tcPr>
            <w:tcW w:w="963"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hint="default"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0,00</w:t>
            </w:r>
          </w:p>
        </w:tc>
        <w:tc>
          <w:tcPr>
            <w:tcW w:w="1225"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w:t>
            </w:r>
          </w:p>
        </w:tc>
        <w:tc>
          <w:tcPr>
            <w:tcW w:w="1300"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 не востребован</w:t>
            </w:r>
          </w:p>
        </w:tc>
        <w:tc>
          <w:tcPr>
            <w:tcW w:w="1112"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w:t>
            </w:r>
          </w:p>
        </w:tc>
        <w:tc>
          <w:tcPr>
            <w:tcW w:w="1863"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hint="default"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Налоговый расход не результативный</w:t>
            </w:r>
          </w:p>
        </w:tc>
        <w:tc>
          <w:tcPr>
            <w:tcW w:w="1575"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eastAsia="Times New Roman" w:cs="Times New Roman"/>
                <w:kern w:val="2"/>
                <w:sz w:val="18"/>
                <w:szCs w:val="18"/>
                <w:lang w:eastAsia="zh-CN"/>
              </w:rPr>
              <w:t xml:space="preserve">Налоговый расход  </w:t>
            </w:r>
            <w:r>
              <w:rPr>
                <w:rFonts w:ascii="Times New Roman" w:hAnsi="Times New Roman" w:eastAsia="Times New Roman" w:cs="Times New Roman"/>
                <w:kern w:val="2"/>
                <w:sz w:val="18"/>
                <w:szCs w:val="18"/>
                <w:lang w:val="ru-RU" w:eastAsia="zh-CN"/>
              </w:rPr>
              <w:t>относительно</w:t>
            </w:r>
            <w:r>
              <w:rPr>
                <w:rFonts w:hint="default" w:ascii="Times New Roman" w:hAnsi="Times New Roman" w:eastAsia="Times New Roman" w:cs="Times New Roman"/>
                <w:kern w:val="2"/>
                <w:sz w:val="18"/>
                <w:szCs w:val="18"/>
                <w:lang w:val="ru-RU" w:eastAsia="zh-CN"/>
              </w:rPr>
              <w:t xml:space="preserve"> экономный </w:t>
            </w:r>
          </w:p>
        </w:tc>
        <w:tc>
          <w:tcPr>
            <w:tcW w:w="1350"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Х</w:t>
            </w:r>
          </w:p>
        </w:tc>
        <w:tc>
          <w:tcPr>
            <w:tcW w:w="1600"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Налоговый расход недостаточно эффективный</w:t>
            </w:r>
          </w:p>
        </w:tc>
      </w:tr>
      <w:tr>
        <w:tblPrEx>
          <w:tblCellMar>
            <w:top w:w="0" w:type="dxa"/>
            <w:left w:w="10" w:type="dxa"/>
            <w:bottom w:w="0" w:type="dxa"/>
            <w:right w:w="10" w:type="dxa"/>
          </w:tblCellMar>
        </w:tblPrEx>
        <w:tc>
          <w:tcPr>
            <w:tcW w:w="15075" w:type="dxa"/>
            <w:gridSpan w:val="11"/>
            <w:tcBorders>
              <w:top w:val="single" w:color="auto" w:sz="4" w:space="0"/>
              <w:left w:val="single" w:color="auto" w:sz="4" w:space="0"/>
              <w:bottom w:val="single" w:color="auto" w:sz="4" w:space="0"/>
              <w:right w:val="single" w:color="auto" w:sz="4" w:space="0"/>
            </w:tcBorders>
            <w:vAlign w:val="center"/>
          </w:tcPr>
          <w:p>
            <w:pPr>
              <w:numPr>
                <w:ilvl w:val="0"/>
                <w:numId w:val="3"/>
              </w:numPr>
              <w:suppressAutoHyphens/>
              <w:spacing w:after="0" w:line="240" w:lineRule="auto"/>
              <w:ind w:left="220" w:leftChars="0" w:firstLine="0" w:firstLineChars="0"/>
              <w:jc w:val="center"/>
              <w:rPr>
                <w:rFonts w:ascii="Times New Roman" w:hAnsi="Times New Roman" w:cs="Times New Roman"/>
                <w:color w:val="000000"/>
                <w:sz w:val="18"/>
                <w:szCs w:val="18"/>
              </w:rPr>
            </w:pPr>
            <w:r>
              <w:rPr>
                <w:rFonts w:ascii="Times New Roman" w:hAnsi="Times New Roman" w:eastAsia="Times New Roman" w:cs="Times New Roman"/>
                <w:b/>
                <w:kern w:val="2"/>
                <w:sz w:val="24"/>
                <w:szCs w:val="24"/>
                <w:lang w:val="ru-RU" w:eastAsia="zh-CN"/>
              </w:rPr>
              <w:t>М</w:t>
            </w:r>
            <w:r>
              <w:rPr>
                <w:rFonts w:ascii="Times New Roman" w:hAnsi="Times New Roman" w:eastAsia="Times New Roman" w:cs="Times New Roman"/>
                <w:b/>
                <w:kern w:val="2"/>
                <w:sz w:val="24"/>
                <w:szCs w:val="24"/>
                <w:lang w:eastAsia="zh-CN"/>
              </w:rPr>
              <w:t>униципальн</w:t>
            </w:r>
            <w:r>
              <w:rPr>
                <w:rFonts w:ascii="Times New Roman" w:hAnsi="Times New Roman" w:eastAsia="Times New Roman" w:cs="Times New Roman"/>
                <w:b/>
                <w:kern w:val="2"/>
                <w:sz w:val="24"/>
                <w:szCs w:val="24"/>
                <w:lang w:val="ru-RU" w:eastAsia="zh-CN"/>
              </w:rPr>
              <w:t>ая</w:t>
            </w:r>
            <w:r>
              <w:rPr>
                <w:rFonts w:ascii="Times New Roman" w:hAnsi="Times New Roman" w:eastAsia="Times New Roman" w:cs="Times New Roman"/>
                <w:b/>
                <w:kern w:val="2"/>
                <w:sz w:val="24"/>
                <w:szCs w:val="24"/>
                <w:lang w:eastAsia="zh-CN"/>
              </w:rPr>
              <w:t xml:space="preserve"> программ</w:t>
            </w:r>
            <w:r>
              <w:rPr>
                <w:rFonts w:ascii="Times New Roman" w:hAnsi="Times New Roman" w:eastAsia="Times New Roman" w:cs="Times New Roman"/>
                <w:b/>
                <w:kern w:val="2"/>
                <w:sz w:val="24"/>
                <w:szCs w:val="24"/>
                <w:lang w:val="ru-RU" w:eastAsia="zh-CN"/>
              </w:rPr>
              <w:t>а</w:t>
            </w:r>
            <w:r>
              <w:rPr>
                <w:rFonts w:ascii="Times New Roman" w:hAnsi="Times New Roman" w:eastAsia="Times New Roman" w:cs="Times New Roman"/>
                <w:b/>
                <w:kern w:val="2"/>
                <w:sz w:val="24"/>
                <w:szCs w:val="24"/>
                <w:lang w:eastAsia="zh-CN"/>
              </w:rPr>
              <w:t xml:space="preserve"> Белоярск</w:t>
            </w:r>
            <w:r>
              <w:rPr>
                <w:rFonts w:ascii="Times New Roman" w:hAnsi="Times New Roman" w:eastAsia="Times New Roman" w:cs="Times New Roman"/>
                <w:b/>
                <w:kern w:val="2"/>
                <w:sz w:val="24"/>
                <w:szCs w:val="24"/>
                <w:lang w:val="ru-RU" w:eastAsia="zh-CN"/>
              </w:rPr>
              <w:t>ого</w:t>
            </w:r>
            <w:r>
              <w:rPr>
                <w:rFonts w:ascii="Times New Roman" w:hAnsi="Times New Roman" w:eastAsia="Times New Roman" w:cs="Times New Roman"/>
                <w:b/>
                <w:kern w:val="2"/>
                <w:sz w:val="24"/>
                <w:szCs w:val="24"/>
                <w:lang w:eastAsia="zh-CN"/>
              </w:rPr>
              <w:t xml:space="preserve"> района «Развитие агропромышленного комплекса»</w:t>
            </w:r>
          </w:p>
        </w:tc>
      </w:tr>
      <w:tr>
        <w:tblPrEx>
          <w:tblCellMar>
            <w:top w:w="0" w:type="dxa"/>
            <w:left w:w="10" w:type="dxa"/>
            <w:bottom w:w="0" w:type="dxa"/>
            <w:right w:w="10" w:type="dxa"/>
          </w:tblCellMar>
        </w:tblPrEx>
        <w:tc>
          <w:tcPr>
            <w:tcW w:w="284" w:type="dxa"/>
            <w:tcBorders>
              <w:top w:val="single" w:color="auto" w:sz="4" w:space="0"/>
              <w:left w:val="single" w:color="auto" w:sz="4" w:space="0"/>
              <w:bottom w:val="single" w:color="auto" w:sz="4" w:space="0"/>
              <w:right w:val="single" w:color="auto" w:sz="4" w:space="0"/>
            </w:tcBorders>
            <w:vAlign w:val="center"/>
          </w:tcPr>
          <w:p>
            <w:pPr>
              <w:suppressLineNumbers/>
              <w:suppressAutoHyphens/>
              <w:spacing w:after="0" w:line="240" w:lineRule="auto"/>
              <w:jc w:val="center"/>
              <w:rPr>
                <w:rFonts w:hint="default" w:ascii="Times New Roman" w:hAnsi="Times New Roman" w:eastAsia="Times New Roman" w:cs="Times New Roman"/>
                <w:kern w:val="2"/>
                <w:sz w:val="18"/>
                <w:szCs w:val="18"/>
                <w:lang w:val="ru-RU" w:eastAsia="zh-CN"/>
              </w:rPr>
            </w:pPr>
            <w:r>
              <w:rPr>
                <w:rFonts w:hint="default" w:ascii="Times New Roman" w:hAnsi="Times New Roman" w:eastAsia="Times New Roman" w:cs="Times New Roman"/>
                <w:kern w:val="2"/>
                <w:sz w:val="18"/>
                <w:szCs w:val="18"/>
                <w:lang w:val="ru-RU" w:eastAsia="zh-CN"/>
              </w:rPr>
              <w:t>6</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HAnsi"/>
                <w:color w:val="000000"/>
                <w:sz w:val="18"/>
                <w:szCs w:val="18"/>
                <w:lang w:val="en-US" w:eastAsia="zh-CN" w:bidi="ar-SA"/>
              </w:rPr>
            </w:pPr>
            <w:r>
              <w:rPr>
                <w:rFonts w:hint="default" w:ascii="Times New Roman" w:hAnsi="Times New Roman" w:eastAsiaTheme="minorHAnsi"/>
                <w:color w:val="000000"/>
                <w:sz w:val="18"/>
                <w:szCs w:val="18"/>
                <w:lang w:val="en-US" w:eastAsia="zh-CN"/>
              </w:rPr>
              <w:t>Установление пониженной ставки по налогу с целью поддержки сельскохозяйственных производителей</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lang w:val="en-US" w:eastAsia="zh-CN"/>
              </w:rPr>
            </w:pPr>
            <w:r>
              <w:rPr>
                <w:rFonts w:hint="default" w:ascii="Times New Roman" w:hAnsi="Times New Roman" w:cs="Times New Roman" w:eastAsiaTheme="minorHAnsi"/>
                <w:color w:val="000000"/>
                <w:sz w:val="18"/>
                <w:szCs w:val="18"/>
                <w:lang w:val="en-US" w:eastAsia="zh-CN" w:bidi="ar-SA"/>
              </w:rPr>
              <w:t>Поддержка сельскохозяйственных производителей</w:t>
            </w:r>
          </w:p>
        </w:tc>
        <w:tc>
          <w:tcPr>
            <w:tcW w:w="963"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0,00</w:t>
            </w:r>
          </w:p>
        </w:tc>
        <w:tc>
          <w:tcPr>
            <w:tcW w:w="1225"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w:t>
            </w:r>
          </w:p>
        </w:tc>
        <w:tc>
          <w:tcPr>
            <w:tcW w:w="1300"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 не востребован</w:t>
            </w:r>
          </w:p>
        </w:tc>
        <w:tc>
          <w:tcPr>
            <w:tcW w:w="1112"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w:t>
            </w:r>
          </w:p>
        </w:tc>
        <w:tc>
          <w:tcPr>
            <w:tcW w:w="1863"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Налоговый расход не результативный</w:t>
            </w:r>
          </w:p>
        </w:tc>
        <w:tc>
          <w:tcPr>
            <w:tcW w:w="1575"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eastAsia="Times New Roman" w:cs="Times New Roman"/>
                <w:kern w:val="2"/>
                <w:sz w:val="18"/>
                <w:szCs w:val="18"/>
                <w:lang w:eastAsia="zh-CN"/>
              </w:rPr>
              <w:t xml:space="preserve">Налоговый расход  </w:t>
            </w:r>
            <w:r>
              <w:rPr>
                <w:rFonts w:ascii="Times New Roman" w:hAnsi="Times New Roman" w:eastAsia="Times New Roman" w:cs="Times New Roman"/>
                <w:kern w:val="2"/>
                <w:sz w:val="18"/>
                <w:szCs w:val="18"/>
                <w:lang w:val="ru-RU" w:eastAsia="zh-CN"/>
              </w:rPr>
              <w:t>относительно</w:t>
            </w:r>
            <w:r>
              <w:rPr>
                <w:rFonts w:hint="default" w:ascii="Times New Roman" w:hAnsi="Times New Roman" w:eastAsia="Times New Roman" w:cs="Times New Roman"/>
                <w:kern w:val="2"/>
                <w:sz w:val="18"/>
                <w:szCs w:val="18"/>
                <w:lang w:val="ru-RU" w:eastAsia="zh-CN"/>
              </w:rPr>
              <w:t xml:space="preserve"> экономный </w:t>
            </w:r>
          </w:p>
        </w:tc>
        <w:tc>
          <w:tcPr>
            <w:tcW w:w="1350"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Х</w:t>
            </w:r>
          </w:p>
        </w:tc>
        <w:tc>
          <w:tcPr>
            <w:tcW w:w="1600"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Налоговый расход недостаточно эффективный</w:t>
            </w:r>
          </w:p>
        </w:tc>
      </w:tr>
      <w:tr>
        <w:tblPrEx>
          <w:tblCellMar>
            <w:top w:w="0" w:type="dxa"/>
            <w:left w:w="10" w:type="dxa"/>
            <w:bottom w:w="0" w:type="dxa"/>
            <w:right w:w="10" w:type="dxa"/>
          </w:tblCellMar>
        </w:tblPrEx>
        <w:tc>
          <w:tcPr>
            <w:tcW w:w="15075" w:type="dxa"/>
            <w:gridSpan w:val="11"/>
            <w:tcBorders>
              <w:top w:val="single" w:color="auto" w:sz="4" w:space="0"/>
              <w:left w:val="single" w:color="auto" w:sz="4" w:space="0"/>
              <w:bottom w:val="single" w:color="auto" w:sz="4" w:space="0"/>
              <w:right w:val="single" w:color="auto" w:sz="4" w:space="0"/>
            </w:tcBorders>
            <w:vAlign w:val="center"/>
          </w:tcPr>
          <w:p>
            <w:pPr>
              <w:numPr>
                <w:ilvl w:val="0"/>
                <w:numId w:val="3"/>
              </w:numPr>
              <w:suppressAutoHyphens/>
              <w:spacing w:after="0" w:line="240" w:lineRule="auto"/>
              <w:ind w:left="220" w:leftChars="0" w:firstLine="0" w:firstLineChars="0"/>
              <w:jc w:val="center"/>
              <w:rPr>
                <w:rFonts w:hint="default" w:ascii="Times New Roman" w:hAnsi="Times New Roman" w:cs="Times New Roman"/>
                <w:color w:val="000000"/>
                <w:sz w:val="18"/>
                <w:szCs w:val="18"/>
                <w:lang w:val="ru-RU"/>
              </w:rPr>
            </w:pPr>
            <w:r>
              <w:rPr>
                <w:rFonts w:hint="default" w:ascii="Times New Roman" w:hAnsi="Times New Roman" w:eastAsia="Times New Roman" w:cs="Times New Roman"/>
                <w:b/>
                <w:kern w:val="2"/>
                <w:sz w:val="24"/>
                <w:szCs w:val="24"/>
                <w:lang w:val="ru-RU" w:eastAsia="zh-CN"/>
              </w:rPr>
              <w:t>Стратегия социально - экономического развития Белоярского района до 2030 года</w:t>
            </w:r>
          </w:p>
        </w:tc>
      </w:tr>
      <w:tr>
        <w:tblPrEx>
          <w:tblCellMar>
            <w:top w:w="0" w:type="dxa"/>
            <w:left w:w="10" w:type="dxa"/>
            <w:bottom w:w="0" w:type="dxa"/>
            <w:right w:w="10" w:type="dxa"/>
          </w:tblCellMar>
        </w:tblPrEx>
        <w:tc>
          <w:tcPr>
            <w:tcW w:w="284" w:type="dxa"/>
            <w:tcBorders>
              <w:top w:val="single" w:color="auto" w:sz="4" w:space="0"/>
              <w:left w:val="single" w:color="auto" w:sz="4" w:space="0"/>
              <w:bottom w:val="single" w:color="auto" w:sz="4" w:space="0"/>
              <w:right w:val="single" w:color="auto" w:sz="4" w:space="0"/>
            </w:tcBorders>
            <w:vAlign w:val="center"/>
          </w:tcPr>
          <w:p>
            <w:pPr>
              <w:suppressLineNumbers/>
              <w:suppressAutoHyphens/>
              <w:spacing w:after="0" w:line="240" w:lineRule="auto"/>
              <w:jc w:val="center"/>
              <w:rPr>
                <w:rFonts w:hint="default" w:ascii="Times New Roman" w:hAnsi="Times New Roman" w:eastAsia="Times New Roman" w:cs="Times New Roman"/>
                <w:kern w:val="2"/>
                <w:sz w:val="18"/>
                <w:szCs w:val="18"/>
                <w:lang w:val="ru-RU" w:eastAsia="zh-CN"/>
              </w:rPr>
            </w:pPr>
            <w:r>
              <w:rPr>
                <w:rFonts w:hint="default" w:ascii="Times New Roman" w:hAnsi="Times New Roman" w:eastAsia="Times New Roman" w:cs="Times New Roman"/>
                <w:kern w:val="2"/>
                <w:sz w:val="18"/>
                <w:szCs w:val="18"/>
                <w:lang w:val="ru-RU" w:eastAsia="zh-CN"/>
              </w:rPr>
              <w:t>7</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heme="minorHAnsi"/>
                <w:color w:val="000000"/>
                <w:sz w:val="18"/>
                <w:szCs w:val="18"/>
                <w:lang w:val="ru-RU" w:eastAsia="zh-CN"/>
              </w:rPr>
            </w:pPr>
            <w:r>
              <w:rPr>
                <w:rFonts w:hint="default" w:ascii="Times New Roman" w:hAnsi="Times New Roman" w:eastAsiaTheme="minorHAnsi"/>
                <w:color w:val="000000"/>
                <w:sz w:val="18"/>
                <w:szCs w:val="18"/>
                <w:lang w:val="en-US" w:eastAsia="zh-CN"/>
              </w:rPr>
              <w:t>Установление пониженной ставки для владельцев земельных участков, предназначенных для обеспечения деятельности организаций и (или) объектов связи, радиовещания, телевидения, информатики</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suppressAutoHyphens/>
              <w:spacing w:after="0" w:line="240" w:lineRule="auto"/>
              <w:jc w:val="center"/>
              <w:rPr>
                <w:rFonts w:hint="default" w:ascii="Times New Roman" w:hAnsi="Times New Roman" w:cs="Times New Roman" w:eastAsiaTheme="minorHAnsi"/>
                <w:color w:val="000000"/>
                <w:sz w:val="18"/>
                <w:szCs w:val="18"/>
                <w:lang w:val="en-US" w:eastAsia="zh-CN" w:bidi="ar-SA"/>
              </w:rPr>
            </w:pPr>
            <w:r>
              <w:rPr>
                <w:rFonts w:hint="default" w:ascii="Times New Roman" w:hAnsi="Times New Roman" w:eastAsiaTheme="minorHAnsi"/>
                <w:color w:val="000000"/>
                <w:sz w:val="18"/>
                <w:szCs w:val="18"/>
                <w:lang w:val="en-US" w:eastAsia="zh-CN"/>
              </w:rPr>
              <w:t>Снижение налоговой нагрузки для объектов связи и центров обработки данных с целью обеспечения ускоренного развития отрасли информационных технологий в Российской Федерации (Указ Президента Российской Федерации от 2 марта 2022 года № 83 «О мерах по обеспечению ускоренного развития отрасли информационных технологий в Российской Федерации»)</w:t>
            </w:r>
          </w:p>
        </w:tc>
        <w:tc>
          <w:tcPr>
            <w:tcW w:w="963"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w:t>
            </w:r>
          </w:p>
        </w:tc>
        <w:tc>
          <w:tcPr>
            <w:tcW w:w="1225"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hint="default" w:ascii="Times New Roman" w:hAnsi="Times New Roman" w:cs="Times New Roman"/>
                <w:color w:val="000000"/>
                <w:sz w:val="18"/>
                <w:szCs w:val="18"/>
                <w:lang w:val="ru-RU"/>
              </w:rPr>
              <w:t>0</w:t>
            </w:r>
          </w:p>
        </w:tc>
        <w:tc>
          <w:tcPr>
            <w:tcW w:w="1300"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 не востребован</w:t>
            </w:r>
          </w:p>
        </w:tc>
        <w:tc>
          <w:tcPr>
            <w:tcW w:w="1112"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hint="default"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0</w:t>
            </w:r>
          </w:p>
        </w:tc>
        <w:tc>
          <w:tcPr>
            <w:tcW w:w="1863"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Налоговый расход не результативный</w:t>
            </w:r>
          </w:p>
        </w:tc>
        <w:tc>
          <w:tcPr>
            <w:tcW w:w="1575"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eastAsia="Times New Roman" w:cs="Times New Roman"/>
                <w:kern w:val="2"/>
                <w:sz w:val="18"/>
                <w:szCs w:val="18"/>
                <w:lang w:eastAsia="zh-CN"/>
              </w:rPr>
              <w:t xml:space="preserve">Налоговый расход  </w:t>
            </w:r>
            <w:r>
              <w:rPr>
                <w:rFonts w:ascii="Times New Roman" w:hAnsi="Times New Roman" w:eastAsia="Times New Roman" w:cs="Times New Roman"/>
                <w:kern w:val="2"/>
                <w:sz w:val="18"/>
                <w:szCs w:val="18"/>
                <w:lang w:val="ru-RU" w:eastAsia="zh-CN"/>
              </w:rPr>
              <w:t>относительно</w:t>
            </w:r>
            <w:r>
              <w:rPr>
                <w:rFonts w:hint="default" w:ascii="Times New Roman" w:hAnsi="Times New Roman" w:eastAsia="Times New Roman" w:cs="Times New Roman"/>
                <w:kern w:val="2"/>
                <w:sz w:val="18"/>
                <w:szCs w:val="18"/>
                <w:lang w:val="ru-RU" w:eastAsia="zh-CN"/>
              </w:rPr>
              <w:t xml:space="preserve"> экономный </w:t>
            </w:r>
          </w:p>
        </w:tc>
        <w:tc>
          <w:tcPr>
            <w:tcW w:w="1350"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ascii="Times New Roman" w:hAnsi="Times New Roman" w:cs="Times New Roman" w:eastAsiaTheme="minorHAnsi"/>
                <w:color w:val="000000"/>
                <w:sz w:val="18"/>
                <w:szCs w:val="18"/>
                <w:lang w:val="ru-RU" w:eastAsia="zh-CN" w:bidi="ar-SA"/>
              </w:rPr>
            </w:pPr>
            <w:r>
              <w:rPr>
                <w:rFonts w:ascii="Times New Roman" w:hAnsi="Times New Roman" w:cs="Times New Roman"/>
                <w:color w:val="000000"/>
                <w:sz w:val="18"/>
                <w:szCs w:val="18"/>
              </w:rPr>
              <w:t>Х</w:t>
            </w:r>
          </w:p>
        </w:tc>
        <w:tc>
          <w:tcPr>
            <w:tcW w:w="1600" w:type="dxa"/>
            <w:tcBorders>
              <w:top w:val="single" w:color="auto" w:sz="4" w:space="0"/>
              <w:left w:val="single" w:color="auto" w:sz="4" w:space="0"/>
              <w:bottom w:val="single" w:color="auto" w:sz="4" w:space="0"/>
              <w:right w:val="single" w:color="auto" w:sz="4" w:space="0"/>
            </w:tcBorders>
            <w:vAlign w:val="top"/>
          </w:tcPr>
          <w:p>
            <w:pPr>
              <w:suppressAutoHyphens/>
              <w:spacing w:after="0" w:line="240" w:lineRule="auto"/>
              <w:jc w:val="center"/>
              <w:rPr>
                <w:rFonts w:hint="default" w:ascii="Times New Roman" w:hAnsi="Times New Roman" w:cs="Times New Roman" w:eastAsiaTheme="minorHAnsi"/>
                <w:color w:val="000000"/>
                <w:sz w:val="18"/>
                <w:szCs w:val="18"/>
                <w:lang w:val="ru-RU" w:eastAsia="en-US" w:bidi="ar-SA"/>
              </w:rPr>
            </w:pPr>
            <w:r>
              <w:rPr>
                <w:rFonts w:ascii="Times New Roman" w:hAnsi="Times New Roman" w:cs="Times New Roman"/>
                <w:color w:val="000000"/>
                <w:sz w:val="18"/>
                <w:szCs w:val="18"/>
              </w:rPr>
              <w:t>Налоговый расход недостаточно эффективный</w:t>
            </w:r>
          </w:p>
        </w:tc>
      </w:tr>
    </w:tbl>
    <w:p>
      <w:pPr>
        <w:wordWrap/>
        <w:jc w:val="left"/>
        <w:rPr>
          <w:rFonts w:hint="default"/>
          <w:sz w:val="16"/>
          <w:szCs w:val="16"/>
          <w:lang w:val="ru-RU"/>
        </w:rPr>
      </w:pPr>
    </w:p>
    <w:p>
      <w:pPr>
        <w:wordWrap/>
        <w:jc w:val="left"/>
        <w:rPr>
          <w:rFonts w:hint="default" w:ascii="Times New Roman" w:hAnsi="Times New Roman" w:eastAsia="Calibri" w:cs="Times New Roman"/>
          <w:sz w:val="16"/>
          <w:szCs w:val="16"/>
          <w:lang w:val="ru-RU" w:eastAsia="zh-CN"/>
        </w:rPr>
      </w:pPr>
    </w:p>
    <w:p>
      <w:pPr>
        <w:jc w:val="right"/>
        <w:rPr>
          <w:rFonts w:hint="default" w:ascii="Times New Roman" w:hAnsi="Times New Roman" w:cs="Times New Roman"/>
          <w:b/>
          <w:sz w:val="24"/>
          <w:szCs w:val="24"/>
          <w:lang w:val="ru-RU"/>
        </w:rPr>
      </w:pPr>
      <w:r>
        <w:rPr>
          <w:rFonts w:ascii="Times New Roman" w:hAnsi="Times New Roman" w:cs="Times New Roman"/>
          <w:b/>
          <w:sz w:val="24"/>
          <w:szCs w:val="24"/>
          <w:lang w:val="ru-RU"/>
        </w:rPr>
        <w:t>Таблица</w:t>
      </w:r>
      <w:r>
        <w:rPr>
          <w:rFonts w:hint="default" w:ascii="Times New Roman" w:hAnsi="Times New Roman" w:cs="Times New Roman"/>
          <w:b/>
          <w:sz w:val="24"/>
          <w:szCs w:val="24"/>
          <w:lang w:val="ru-RU"/>
        </w:rPr>
        <w:t xml:space="preserve"> 2</w:t>
      </w:r>
    </w:p>
    <w:p>
      <w:pPr>
        <w:rPr>
          <w:b/>
        </w:rPr>
      </w:pPr>
      <w:r>
        <w:rPr>
          <w:rFonts w:hint="default" w:ascii="Times New Roman" w:hAnsi="Times New Roman" w:cs="Times New Roman"/>
          <w:b/>
          <w:sz w:val="24"/>
          <w:szCs w:val="24"/>
          <w:lang w:val="ru-RU"/>
        </w:rPr>
        <w:t>2</w:t>
      </w:r>
      <w:r>
        <w:rPr>
          <w:rFonts w:ascii="Times New Roman" w:hAnsi="Times New Roman" w:cs="Times New Roman"/>
          <w:b/>
          <w:sz w:val="24"/>
          <w:szCs w:val="24"/>
        </w:rPr>
        <w:t>. По налогу</w:t>
      </w:r>
      <w:r>
        <w:rPr>
          <w:rFonts w:hint="default" w:ascii="Times New Roman" w:hAnsi="Times New Roman" w:cs="Times New Roman"/>
          <w:b/>
          <w:sz w:val="24"/>
          <w:szCs w:val="24"/>
          <w:lang w:val="ru-RU"/>
        </w:rPr>
        <w:t xml:space="preserve"> на имущество физических лиц</w:t>
      </w:r>
      <w:r>
        <w:rPr>
          <w:rFonts w:ascii="Times New Roman" w:hAnsi="Times New Roman" w:cs="Times New Roman"/>
          <w:b/>
          <w:sz w:val="24"/>
          <w:szCs w:val="24"/>
        </w:rPr>
        <w:t>:</w:t>
      </w:r>
    </w:p>
    <w:tbl>
      <w:tblPr>
        <w:tblStyle w:val="3"/>
        <w:tblW w:w="15075" w:type="dxa"/>
        <w:tblInd w:w="-162" w:type="dxa"/>
        <w:tblLayout w:type="fixed"/>
        <w:tblCellMar>
          <w:top w:w="0" w:type="dxa"/>
          <w:left w:w="10" w:type="dxa"/>
          <w:bottom w:w="0" w:type="dxa"/>
          <w:right w:w="10" w:type="dxa"/>
        </w:tblCellMar>
      </w:tblPr>
      <w:tblGrid>
        <w:gridCol w:w="284"/>
        <w:gridCol w:w="1928"/>
        <w:gridCol w:w="1875"/>
        <w:gridCol w:w="963"/>
        <w:gridCol w:w="1225"/>
        <w:gridCol w:w="1300"/>
        <w:gridCol w:w="1112"/>
        <w:gridCol w:w="1863"/>
        <w:gridCol w:w="1575"/>
        <w:gridCol w:w="1350"/>
        <w:gridCol w:w="1600"/>
      </w:tblGrid>
      <w:tr>
        <w:tblPrEx>
          <w:tblCellMar>
            <w:top w:w="0" w:type="dxa"/>
            <w:left w:w="10" w:type="dxa"/>
            <w:bottom w:w="0" w:type="dxa"/>
            <w:right w:w="10" w:type="dxa"/>
          </w:tblCellMar>
        </w:tblPrEx>
        <w:trPr>
          <w:tblHeader/>
        </w:trPr>
        <w:tc>
          <w:tcPr>
            <w:tcW w:w="284"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val="en-US" w:eastAsia="zh-CN" w:bidi="hi-IN"/>
              </w:rPr>
              <w:t>№</w:t>
            </w:r>
            <w:r>
              <w:rPr>
                <w:rFonts w:ascii="Times New Roman" w:hAnsi="Times New Roman" w:eastAsia="Times New Roman" w:cs="Times New Roman"/>
                <w:b/>
                <w:kern w:val="2"/>
                <w:sz w:val="14"/>
                <w:szCs w:val="14"/>
                <w:lang w:val="en-US" w:eastAsia="zh-CN" w:bidi="hi-IN"/>
              </w:rPr>
              <w:t xml:space="preserve"> </w:t>
            </w:r>
            <w:r>
              <w:rPr>
                <w:rFonts w:ascii="Times New Roman" w:hAnsi="Times New Roman" w:eastAsia="SimSun" w:cs="Mangal"/>
                <w:b/>
                <w:kern w:val="2"/>
                <w:sz w:val="14"/>
                <w:szCs w:val="14"/>
                <w:lang w:val="en-US" w:eastAsia="zh-CN" w:bidi="hi-IN"/>
              </w:rPr>
              <w:t>п/п</w:t>
            </w:r>
          </w:p>
        </w:tc>
        <w:tc>
          <w:tcPr>
            <w:tcW w:w="1928"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Наименование налогового расхода (налоговых льгот, освобождений и иных преференций)</w:t>
            </w:r>
          </w:p>
        </w:tc>
        <w:tc>
          <w:tcPr>
            <w:tcW w:w="187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Цели предоставления налоговых расходов</w:t>
            </w:r>
          </w:p>
        </w:tc>
        <w:tc>
          <w:tcPr>
            <w:tcW w:w="963"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Объем налоговых расходов (тыс. руб.)</w:t>
            </w:r>
          </w:p>
        </w:tc>
        <w:tc>
          <w:tcPr>
            <w:tcW w:w="122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Численность плательщиков налогов, воспользовавшихся налоговым расходом (единиц)</w:t>
            </w:r>
          </w:p>
        </w:tc>
        <w:tc>
          <w:tcPr>
            <w:tcW w:w="1300"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 xml:space="preserve">Востребованность плательщиками предоставленных налоговых расходов (коэффициент востребованности &gt; 0,3)                                 </w:t>
            </w:r>
          </w:p>
        </w:tc>
        <w:tc>
          <w:tcPr>
            <w:tcW w:w="1112"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 xml:space="preserve">Коэффициент эффективности вклада  (&gt; 0)                                  </w:t>
            </w:r>
          </w:p>
        </w:tc>
        <w:tc>
          <w:tcPr>
            <w:tcW w:w="1863"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Оценка вклада предусмотренного налогового расхода в изменение значения показателя (индикатора) достижения целей государственных программ автономного округа</w:t>
            </w:r>
          </w:p>
        </w:tc>
        <w:tc>
          <w:tcPr>
            <w:tcW w:w="1575"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Результат сравнительного анализа результативности</w:t>
            </w:r>
          </w:p>
        </w:tc>
        <w:tc>
          <w:tcPr>
            <w:tcW w:w="1350"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Бюджетный эффект (самоокупаемость)             (тыс. руб.)</w:t>
            </w:r>
          </w:p>
          <w:p>
            <w:pPr>
              <w:suppressAutoHyphens/>
              <w:spacing w:after="0" w:line="240" w:lineRule="auto"/>
              <w:jc w:val="center"/>
              <w:rPr>
                <w:rFonts w:ascii="Times New Roman" w:hAnsi="Times New Roman" w:eastAsia="SimSun" w:cs="Mangal"/>
                <w:b/>
                <w:kern w:val="2"/>
                <w:sz w:val="14"/>
                <w:szCs w:val="14"/>
                <w:lang w:eastAsia="zh-CN" w:bidi="hi-IN"/>
              </w:rPr>
            </w:pPr>
            <w:r>
              <w:rPr>
                <w:rFonts w:ascii="Times New Roman" w:hAnsi="Times New Roman" w:eastAsia="Times New Roman" w:cs="Times New Roman"/>
                <w:b/>
                <w:kern w:val="2"/>
                <w:sz w:val="14"/>
                <w:szCs w:val="14"/>
                <w:lang w:eastAsia="zh-CN" w:bidi="hi-IN"/>
              </w:rPr>
              <w:t xml:space="preserve"> </w:t>
            </w:r>
            <w:r>
              <w:rPr>
                <w:rFonts w:ascii="Times New Roman" w:hAnsi="Times New Roman" w:eastAsia="SimSun" w:cs="Mangal"/>
                <w:b/>
                <w:kern w:val="2"/>
                <w:sz w:val="14"/>
                <w:szCs w:val="14"/>
                <w:lang w:eastAsia="zh-CN" w:bidi="hi-IN"/>
              </w:rPr>
              <w:t>(&gt; 0)</w:t>
            </w:r>
            <w:r>
              <w:rPr>
                <w:rFonts w:ascii="Times New Roman" w:hAnsi="Times New Roman" w:eastAsia="SimSun" w:cs="Mangal"/>
                <w:b/>
                <w:kern w:val="2"/>
                <w:sz w:val="14"/>
                <w:szCs w:val="14"/>
                <w:vertAlign w:val="superscript"/>
                <w:lang w:eastAsia="zh-CN" w:bidi="hi-IN"/>
              </w:rPr>
              <w:footnoteReference w:id="1"/>
            </w:r>
          </w:p>
        </w:tc>
        <w:tc>
          <w:tcPr>
            <w:tcW w:w="1600" w:type="dxa"/>
            <w:tcBorders>
              <w:top w:val="single" w:color="000000" w:sz="4" w:space="0"/>
              <w:left w:val="single" w:color="000000" w:sz="4" w:space="0"/>
              <w:bottom w:val="single" w:color="000000"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20"/>
                <w:szCs w:val="20"/>
                <w:lang w:eastAsia="zh-CN"/>
              </w:rPr>
            </w:pPr>
            <w:r>
              <w:rPr>
                <w:rFonts w:ascii="Times New Roman" w:hAnsi="Times New Roman" w:eastAsia="SimSun" w:cs="Mangal"/>
                <w:b/>
                <w:kern w:val="2"/>
                <w:sz w:val="14"/>
                <w:szCs w:val="14"/>
                <w:lang w:eastAsia="zh-CN" w:bidi="hi-IN"/>
              </w:rPr>
              <w:t>Результат оценки эффективности налогового расхода</w:t>
            </w:r>
          </w:p>
          <w:p>
            <w:pPr>
              <w:suppressAutoHyphens/>
              <w:spacing w:after="0" w:line="240" w:lineRule="auto"/>
              <w:jc w:val="center"/>
              <w:rPr>
                <w:rFonts w:ascii="Times New Roman" w:hAnsi="Times New Roman" w:eastAsia="SimSun" w:cs="Mangal"/>
                <w:b/>
                <w:kern w:val="2"/>
                <w:sz w:val="14"/>
                <w:szCs w:val="14"/>
                <w:lang w:val="en-US" w:eastAsia="zh-CN" w:bidi="hi-IN"/>
              </w:rPr>
            </w:pPr>
          </w:p>
        </w:tc>
      </w:tr>
      <w:tr>
        <w:tblPrEx>
          <w:tblCellMar>
            <w:top w:w="0" w:type="dxa"/>
            <w:left w:w="10" w:type="dxa"/>
            <w:bottom w:w="0" w:type="dxa"/>
            <w:right w:w="10" w:type="dxa"/>
          </w:tblCellMar>
        </w:tblPrEx>
        <w:trPr>
          <w:trHeight w:val="264" w:hRule="atLeast"/>
          <w:tblHeader/>
        </w:trPr>
        <w:tc>
          <w:tcPr>
            <w:tcW w:w="284"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1</w:t>
            </w:r>
          </w:p>
        </w:tc>
        <w:tc>
          <w:tcPr>
            <w:tcW w:w="1928"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2</w:t>
            </w:r>
          </w:p>
        </w:tc>
        <w:tc>
          <w:tcPr>
            <w:tcW w:w="1875"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val="en-US" w:eastAsia="zh-CN" w:bidi="hi-IN"/>
              </w:rPr>
              <w:t>3</w:t>
            </w:r>
          </w:p>
        </w:tc>
        <w:tc>
          <w:tcPr>
            <w:tcW w:w="963"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4</w:t>
            </w:r>
          </w:p>
        </w:tc>
        <w:tc>
          <w:tcPr>
            <w:tcW w:w="1225"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5</w:t>
            </w:r>
          </w:p>
        </w:tc>
        <w:tc>
          <w:tcPr>
            <w:tcW w:w="1300"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6</w:t>
            </w:r>
          </w:p>
        </w:tc>
        <w:tc>
          <w:tcPr>
            <w:tcW w:w="1112"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7</w:t>
            </w:r>
          </w:p>
        </w:tc>
        <w:tc>
          <w:tcPr>
            <w:tcW w:w="1863"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8</w:t>
            </w:r>
          </w:p>
        </w:tc>
        <w:tc>
          <w:tcPr>
            <w:tcW w:w="1575"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9</w:t>
            </w:r>
          </w:p>
        </w:tc>
        <w:tc>
          <w:tcPr>
            <w:tcW w:w="1350" w:type="dxa"/>
            <w:tcBorders>
              <w:top w:val="nil"/>
              <w:left w:val="single" w:color="000000" w:sz="4" w:space="0"/>
              <w:bottom w:val="single" w:color="000000" w:sz="4" w:space="0"/>
              <w:right w:val="nil"/>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10</w:t>
            </w:r>
          </w:p>
        </w:tc>
        <w:tc>
          <w:tcPr>
            <w:tcW w:w="1600" w:type="dxa"/>
            <w:tcBorders>
              <w:top w:val="nil"/>
              <w:left w:val="single" w:color="000000" w:sz="4" w:space="0"/>
              <w:bottom w:val="single" w:color="000000" w:sz="4" w:space="0"/>
              <w:right w:val="single" w:color="000000" w:sz="4" w:space="0"/>
            </w:tcBorders>
          </w:tcPr>
          <w:p>
            <w:p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SimSun" w:cs="Mangal"/>
                <w:b/>
                <w:bCs/>
                <w:kern w:val="2"/>
                <w:sz w:val="14"/>
                <w:szCs w:val="14"/>
                <w:lang w:eastAsia="zh-CN" w:bidi="hi-IN"/>
              </w:rPr>
              <w:t>11</w:t>
            </w:r>
          </w:p>
        </w:tc>
      </w:tr>
      <w:tr>
        <w:tblPrEx>
          <w:tblCellMar>
            <w:top w:w="0" w:type="dxa"/>
            <w:left w:w="10" w:type="dxa"/>
            <w:bottom w:w="0" w:type="dxa"/>
            <w:right w:w="10" w:type="dxa"/>
          </w:tblCellMar>
        </w:tblPrEx>
        <w:trPr>
          <w:trHeight w:val="216" w:hRule="atLeast"/>
        </w:trPr>
        <w:tc>
          <w:tcPr>
            <w:tcW w:w="15075" w:type="dxa"/>
            <w:gridSpan w:val="11"/>
            <w:tcBorders>
              <w:top w:val="nil"/>
              <w:left w:val="single" w:color="000000" w:sz="4" w:space="0"/>
              <w:bottom w:val="single" w:color="000000" w:sz="4" w:space="0"/>
              <w:right w:val="single" w:color="000000" w:sz="4" w:space="0"/>
            </w:tcBorders>
            <w:tcMar>
              <w:top w:w="55" w:type="dxa"/>
              <w:left w:w="55" w:type="dxa"/>
              <w:bottom w:w="55" w:type="dxa"/>
              <w:right w:w="55" w:type="dxa"/>
            </w:tcMar>
          </w:tcPr>
          <w:p>
            <w:pPr>
              <w:numPr>
                <w:ilvl w:val="0"/>
                <w:numId w:val="4"/>
              </w:numPr>
              <w:suppressAutoHyphens/>
              <w:spacing w:before="57" w:after="57" w:line="240" w:lineRule="auto"/>
              <w:ind w:left="0" w:leftChars="0" w:firstLine="0" w:firstLineChars="0"/>
              <w:jc w:val="center"/>
              <w:rPr>
                <w:rFonts w:hint="default" w:ascii="Times New Roman" w:hAnsi="Times New Roman" w:eastAsia="Times New Roman"/>
                <w:b/>
                <w:kern w:val="2"/>
                <w:sz w:val="24"/>
                <w:szCs w:val="24"/>
                <w:lang w:eastAsia="zh-CN"/>
              </w:rPr>
            </w:pPr>
            <w:r>
              <w:rPr>
                <w:rFonts w:ascii="Times New Roman" w:hAnsi="Times New Roman" w:eastAsia="Times New Roman" w:cs="Times New Roman"/>
                <w:b/>
                <w:kern w:val="2"/>
                <w:sz w:val="24"/>
                <w:szCs w:val="24"/>
                <w:lang w:eastAsia="zh-CN"/>
              </w:rPr>
              <w:t xml:space="preserve">Муниципальная программа Белоярского района </w:t>
            </w:r>
            <w:r>
              <w:rPr>
                <w:rFonts w:hint="default" w:ascii="Times New Roman" w:hAnsi="Times New Roman" w:eastAsia="Times New Roman"/>
                <w:b/>
                <w:kern w:val="2"/>
                <w:sz w:val="24"/>
                <w:szCs w:val="24"/>
                <w:lang w:eastAsia="zh-CN"/>
              </w:rPr>
              <w:t>«Развитие социальной политики</w:t>
            </w:r>
          </w:p>
          <w:p>
            <w:pPr>
              <w:numPr>
                <w:ilvl w:val="0"/>
                <w:numId w:val="0"/>
              </w:numPr>
              <w:suppressAutoHyphens/>
              <w:spacing w:before="57" w:after="57" w:line="240" w:lineRule="auto"/>
              <w:ind w:left="0" w:leftChars="0" w:firstLine="0" w:firstLineChars="0"/>
              <w:jc w:val="center"/>
              <w:rPr>
                <w:rFonts w:ascii="Times New Roman" w:hAnsi="Times New Roman" w:eastAsia="Times New Roman" w:cs="Times New Roman"/>
                <w:b/>
                <w:kern w:val="2"/>
                <w:sz w:val="20"/>
                <w:szCs w:val="20"/>
                <w:lang w:eastAsia="zh-CN"/>
              </w:rPr>
            </w:pPr>
            <w:r>
              <w:rPr>
                <w:rFonts w:hint="default" w:ascii="Times New Roman" w:hAnsi="Times New Roman" w:eastAsia="Times New Roman"/>
                <w:b/>
                <w:kern w:val="2"/>
                <w:sz w:val="24"/>
                <w:szCs w:val="24"/>
                <w:lang w:eastAsia="zh-CN"/>
              </w:rPr>
              <w:t>на территории Белоярского района»</w:t>
            </w:r>
          </w:p>
        </w:tc>
      </w:tr>
      <w:tr>
        <w:tblPrEx>
          <w:tblCellMar>
            <w:top w:w="0" w:type="dxa"/>
            <w:left w:w="10" w:type="dxa"/>
            <w:bottom w:w="0" w:type="dxa"/>
            <w:right w:w="10" w:type="dxa"/>
          </w:tblCellMar>
        </w:tblPrEx>
        <w:trPr>
          <w:trHeight w:val="90" w:hRule="atLeast"/>
        </w:trPr>
        <w:tc>
          <w:tcPr>
            <w:tcW w:w="284" w:type="dxa"/>
            <w:tcBorders>
              <w:top w:val="nil"/>
              <w:left w:val="single" w:color="000000" w:sz="4" w:space="0"/>
              <w:bottom w:val="single" w:color="000000" w:sz="4" w:space="0"/>
              <w:right w:val="nil"/>
            </w:tcBorders>
            <w:vAlign w:val="center"/>
          </w:tcPr>
          <w:p>
            <w:pPr>
              <w:suppressLineNumbers/>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1</w:t>
            </w:r>
          </w:p>
        </w:tc>
        <w:tc>
          <w:tcPr>
            <w:tcW w:w="192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imes New Roman" w:hAnsi="Times New Roman" w:cs="Times New Roman"/>
                <w:color w:val="000000"/>
                <w:sz w:val="18"/>
                <w:szCs w:val="18"/>
                <w:lang w:val="ru-RU"/>
              </w:rPr>
            </w:pPr>
            <w:r>
              <w:rPr>
                <w:rFonts w:hint="default" w:ascii="Times New Roman" w:hAnsi="Times New Roman"/>
                <w:color w:val="000000"/>
                <w:sz w:val="18"/>
                <w:szCs w:val="18"/>
                <w:lang w:val="ru-RU"/>
              </w:rPr>
              <w:t>Освобождение от уплаты налога несовершеннолетних владельцев долей имущества</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color w:val="000000"/>
                <w:sz w:val="18"/>
                <w:szCs w:val="18"/>
              </w:rPr>
            </w:pPr>
            <w:r>
              <w:rPr>
                <w:rFonts w:hint="default" w:ascii="Times New Roman" w:hAnsi="Times New Roman"/>
                <w:color w:val="000000"/>
                <w:sz w:val="18"/>
                <w:szCs w:val="18"/>
              </w:rPr>
              <w:t>Социальная поддержка отдельных категорий граждан, повышения качества жизни жителей района</w:t>
            </w:r>
          </w:p>
        </w:tc>
        <w:tc>
          <w:tcPr>
            <w:tcW w:w="963"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color w:val="000000"/>
                <w:kern w:val="2"/>
                <w:sz w:val="18"/>
                <w:szCs w:val="18"/>
                <w:lang w:eastAsia="zh-CN" w:bidi="hi-IN"/>
              </w:rPr>
            </w:pPr>
            <w:r>
              <w:rPr>
                <w:rFonts w:ascii="Times New Roman" w:hAnsi="Times New Roman" w:eastAsia="SimSun" w:cs="Times New Roman"/>
                <w:color w:val="000000"/>
                <w:kern w:val="2"/>
                <w:sz w:val="18"/>
                <w:szCs w:val="18"/>
                <w:lang w:eastAsia="zh-CN" w:bidi="hi-IN"/>
              </w:rPr>
              <w:t>0,00</w:t>
            </w:r>
          </w:p>
        </w:tc>
        <w:tc>
          <w:tcPr>
            <w:tcW w:w="1225"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0</w:t>
            </w:r>
          </w:p>
        </w:tc>
        <w:tc>
          <w:tcPr>
            <w:tcW w:w="1300"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 не востребован</w:t>
            </w:r>
          </w:p>
        </w:tc>
        <w:tc>
          <w:tcPr>
            <w:tcW w:w="1112"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w:t>
            </w:r>
          </w:p>
        </w:tc>
        <w:tc>
          <w:tcPr>
            <w:tcW w:w="1863"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 результативный</w:t>
            </w:r>
          </w:p>
        </w:tc>
        <w:tc>
          <w:tcPr>
            <w:tcW w:w="1575"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 xml:space="preserve">Налоговый расход  </w:t>
            </w:r>
            <w:r>
              <w:rPr>
                <w:rFonts w:ascii="Times New Roman" w:hAnsi="Times New Roman" w:eastAsia="Times New Roman" w:cs="Times New Roman"/>
                <w:kern w:val="2"/>
                <w:sz w:val="18"/>
                <w:szCs w:val="18"/>
                <w:lang w:val="ru-RU" w:eastAsia="zh-CN"/>
              </w:rPr>
              <w:t>относительно</w:t>
            </w:r>
            <w:r>
              <w:rPr>
                <w:rFonts w:hint="default" w:ascii="Times New Roman" w:hAnsi="Times New Roman" w:eastAsia="Times New Roman" w:cs="Times New Roman"/>
                <w:kern w:val="2"/>
                <w:sz w:val="18"/>
                <w:szCs w:val="18"/>
                <w:lang w:val="ru-RU" w:eastAsia="zh-CN"/>
              </w:rPr>
              <w:t xml:space="preserve"> экономный </w:t>
            </w:r>
          </w:p>
        </w:tc>
        <w:tc>
          <w:tcPr>
            <w:tcW w:w="1350" w:type="dxa"/>
            <w:tcBorders>
              <w:top w:val="nil"/>
              <w:left w:val="single" w:color="000000" w:sz="4" w:space="0"/>
              <w:bottom w:val="single" w:color="000000"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Х</w:t>
            </w:r>
          </w:p>
        </w:tc>
        <w:tc>
          <w:tcPr>
            <w:tcW w:w="1600" w:type="dxa"/>
            <w:tcBorders>
              <w:top w:val="nil"/>
              <w:left w:val="single" w:color="000000" w:sz="4" w:space="0"/>
              <w:bottom w:val="single" w:color="000000"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недостаточно эффективный</w:t>
            </w:r>
          </w:p>
        </w:tc>
      </w:tr>
      <w:tr>
        <w:tblPrEx>
          <w:tblCellMar>
            <w:top w:w="0" w:type="dxa"/>
            <w:left w:w="10" w:type="dxa"/>
            <w:bottom w:w="0" w:type="dxa"/>
            <w:right w:w="10" w:type="dxa"/>
          </w:tblCellMar>
        </w:tblPrEx>
        <w:trPr>
          <w:trHeight w:val="652" w:hRule="atLeast"/>
        </w:trPr>
        <w:tc>
          <w:tcPr>
            <w:tcW w:w="15075" w:type="dxa"/>
            <w:gridSpan w:val="11"/>
            <w:tcBorders>
              <w:top w:val="nil"/>
              <w:left w:val="single" w:color="000000" w:sz="4" w:space="0"/>
              <w:bottom w:val="single" w:color="auto" w:sz="4" w:space="0"/>
              <w:right w:val="single" w:color="000000" w:sz="4" w:space="0"/>
            </w:tcBorders>
            <w:vAlign w:val="center"/>
          </w:tcPr>
          <w:p>
            <w:pPr>
              <w:numPr>
                <w:ilvl w:val="0"/>
                <w:numId w:val="5"/>
              </w:numPr>
              <w:suppressAutoHyphens/>
              <w:spacing w:before="57" w:after="57" w:line="240" w:lineRule="auto"/>
              <w:jc w:val="center"/>
              <w:rPr>
                <w:rFonts w:ascii="Times New Roman" w:hAnsi="Times New Roman" w:eastAsia="Times New Roman" w:cs="Times New Roman"/>
                <w:b/>
                <w:kern w:val="2"/>
                <w:sz w:val="20"/>
                <w:szCs w:val="20"/>
                <w:lang w:eastAsia="zh-CN"/>
              </w:rPr>
            </w:pPr>
            <w:r>
              <w:rPr>
                <w:rFonts w:ascii="Times New Roman" w:hAnsi="Times New Roman" w:eastAsia="Times New Roman" w:cs="Times New Roman"/>
                <w:b/>
                <w:kern w:val="2"/>
                <w:sz w:val="24"/>
                <w:szCs w:val="24"/>
                <w:lang w:eastAsia="zh-CN"/>
              </w:rPr>
              <w:t>Муниципальная программа Белоярского района «Развитие малого и среднего предпринимательства и туризма</w:t>
            </w:r>
          </w:p>
          <w:p>
            <w:pPr>
              <w:numPr>
                <w:ilvl w:val="0"/>
                <w:numId w:val="0"/>
              </w:numPr>
              <w:suppressAutoHyphens/>
              <w:spacing w:after="0" w:line="240" w:lineRule="auto"/>
              <w:ind w:leftChars="0" w:firstLine="6363" w:firstLineChars="2650"/>
              <w:jc w:val="both"/>
              <w:rPr>
                <w:rFonts w:ascii="Times New Roman" w:hAnsi="Times New Roman" w:eastAsia="Times New Roman" w:cs="Times New Roman"/>
                <w:kern w:val="2"/>
                <w:sz w:val="18"/>
                <w:szCs w:val="18"/>
                <w:lang w:eastAsia="zh-CN"/>
              </w:rPr>
            </w:pPr>
            <w:r>
              <w:rPr>
                <w:rFonts w:ascii="Times New Roman" w:hAnsi="Times New Roman" w:eastAsia="Times New Roman" w:cs="Times New Roman"/>
                <w:b/>
                <w:kern w:val="2"/>
                <w:sz w:val="24"/>
                <w:szCs w:val="24"/>
                <w:lang w:eastAsia="zh-CN"/>
              </w:rPr>
              <w:t>в Белоярском районе»</w:t>
            </w:r>
          </w:p>
        </w:tc>
      </w:tr>
      <w:tr>
        <w:tblPrEx>
          <w:tblCellMar>
            <w:top w:w="0" w:type="dxa"/>
            <w:left w:w="10" w:type="dxa"/>
            <w:bottom w:w="0" w:type="dxa"/>
            <w:right w:w="10" w:type="dxa"/>
          </w:tblCellMar>
        </w:tblPrEx>
        <w:trPr>
          <w:trHeight w:val="253" w:hRule="atLeast"/>
        </w:trPr>
        <w:tc>
          <w:tcPr>
            <w:tcW w:w="284" w:type="dxa"/>
            <w:tcBorders>
              <w:top w:val="nil"/>
              <w:left w:val="single" w:color="000000" w:sz="4" w:space="0"/>
              <w:bottom w:val="single" w:color="auto" w:sz="4" w:space="0"/>
              <w:right w:val="nil"/>
            </w:tcBorders>
            <w:vAlign w:val="center"/>
          </w:tcPr>
          <w:p>
            <w:pPr>
              <w:suppressLineNumbers/>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2</w:t>
            </w:r>
          </w:p>
        </w:tc>
        <w:tc>
          <w:tcPr>
            <w:tcW w:w="1928" w:type="dxa"/>
            <w:tcBorders>
              <w:top w:val="nil"/>
              <w:left w:val="single" w:color="auto" w:sz="4" w:space="0"/>
              <w:bottom w:val="single" w:color="auto" w:sz="4" w:space="0"/>
              <w:right w:val="single" w:color="auto" w:sz="4" w:space="0"/>
            </w:tcBorders>
            <w:shd w:val="clear" w:color="auto" w:fill="auto"/>
            <w:vAlign w:val="top"/>
          </w:tcPr>
          <w:p>
            <w:pPr>
              <w:jc w:val="center"/>
              <w:rPr>
                <w:rFonts w:hint="default" w:ascii="Times New Roman" w:hAnsi="Times New Roman" w:cs="Times New Roman" w:eastAsiaTheme="minorHAnsi"/>
                <w:color w:val="000000"/>
                <w:sz w:val="18"/>
                <w:szCs w:val="18"/>
                <w:lang w:val="ru-RU" w:eastAsia="en-US" w:bidi="ar-SA"/>
              </w:rPr>
            </w:pPr>
            <w:r>
              <w:rPr>
                <w:rFonts w:hint="default" w:ascii="Times New Roman" w:hAnsi="Times New Roman"/>
                <w:color w:val="000000"/>
                <w:sz w:val="18"/>
                <w:szCs w:val="18"/>
              </w:rPr>
              <w:t>Установление пониженной ставки для индивидуальных предпринимателей - владельцев объектов недвижимого имущества</w:t>
            </w:r>
            <w:r>
              <w:rPr>
                <w:rFonts w:hint="default" w:ascii="Times New Roman" w:hAnsi="Times New Roman"/>
                <w:color w:val="000000"/>
                <w:sz w:val="18"/>
                <w:szCs w:val="18"/>
                <w:lang w:val="ru-RU"/>
              </w:rPr>
              <w:t xml:space="preserve">, </w:t>
            </w:r>
            <w:r>
              <w:rPr>
                <w:rFonts w:hint="default" w:ascii="Times New Roman" w:hAnsi="Times New Roman"/>
                <w:color w:val="000000"/>
                <w:sz w:val="18"/>
                <w:szCs w:val="18"/>
              </w:rPr>
              <w:t xml:space="preserve"> </w:t>
            </w:r>
            <w:r>
              <w:rPr>
                <w:rFonts w:hint="default" w:ascii="Times New Roman" w:hAnsi="Times New Roman"/>
                <w:color w:val="000000"/>
                <w:sz w:val="18"/>
                <w:szCs w:val="18"/>
                <w:lang w:val="ru-RU"/>
              </w:rPr>
              <w:t>включённого</w:t>
            </w:r>
            <w:r>
              <w:rPr>
                <w:rFonts w:hint="default" w:ascii="Times New Roman" w:hAnsi="Times New Roman"/>
                <w:color w:val="000000"/>
                <w:sz w:val="18"/>
                <w:szCs w:val="18"/>
              </w:rPr>
              <w:t xml:space="preserve"> в перечень, определяемый в соответствии с пунктом 7 статьи 378.2 Налогового кодекса </w:t>
            </w:r>
            <w:r>
              <w:rPr>
                <w:rFonts w:hint="default" w:ascii="Times New Roman" w:hAnsi="Times New Roman"/>
                <w:color w:val="000000"/>
                <w:sz w:val="18"/>
                <w:szCs w:val="18"/>
                <w:lang w:val="ru-RU"/>
              </w:rPr>
              <w:t>Р</w:t>
            </w:r>
            <w:r>
              <w:rPr>
                <w:rFonts w:hint="default" w:ascii="Times New Roman" w:hAnsi="Times New Roman"/>
                <w:color w:val="000000"/>
                <w:sz w:val="18"/>
                <w:szCs w:val="18"/>
              </w:rPr>
              <w:t xml:space="preserve">оссийской </w:t>
            </w:r>
            <w:r>
              <w:rPr>
                <w:rFonts w:hint="default" w:ascii="Times New Roman" w:hAnsi="Times New Roman"/>
                <w:color w:val="000000"/>
                <w:sz w:val="18"/>
                <w:szCs w:val="18"/>
                <w:lang w:val="ru-RU"/>
              </w:rPr>
              <w:t>Федерации</w:t>
            </w:r>
          </w:p>
        </w:tc>
        <w:tc>
          <w:tcPr>
            <w:tcW w:w="1875" w:type="dxa"/>
            <w:tcBorders>
              <w:top w:val="nil"/>
              <w:left w:val="single" w:color="auto" w:sz="4" w:space="0"/>
              <w:bottom w:val="single" w:color="auto" w:sz="4" w:space="0"/>
              <w:right w:val="single" w:color="auto" w:sz="4" w:space="0"/>
            </w:tcBorders>
            <w:shd w:val="clear" w:color="auto" w:fill="auto"/>
            <w:vAlign w:val="top"/>
          </w:tcPr>
          <w:p>
            <w:pPr>
              <w:jc w:val="center"/>
              <w:rPr>
                <w:rFonts w:ascii="Times New Roman" w:hAnsi="Times New Roman" w:cs="Times New Roman" w:eastAsiaTheme="minorHAnsi"/>
                <w:color w:val="000000"/>
                <w:sz w:val="18"/>
                <w:szCs w:val="18"/>
                <w:lang w:val="ru-RU" w:eastAsia="en-US" w:bidi="ar-SA"/>
              </w:rPr>
            </w:pPr>
            <w:r>
              <w:rPr>
                <w:rFonts w:hint="default" w:ascii="Times New Roman" w:hAnsi="Times New Roman"/>
                <w:color w:val="000000"/>
                <w:sz w:val="18"/>
                <w:szCs w:val="18"/>
              </w:rPr>
              <w:t>Поддержка субъектов малого предпринимательства, развития предпринимательской деятельности</w:t>
            </w:r>
          </w:p>
        </w:tc>
        <w:tc>
          <w:tcPr>
            <w:tcW w:w="9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color w:val="000000"/>
                <w:kern w:val="2"/>
                <w:sz w:val="18"/>
                <w:szCs w:val="18"/>
                <w:lang w:eastAsia="zh-CN" w:bidi="hi-IN"/>
              </w:rPr>
            </w:pPr>
            <w:r>
              <w:rPr>
                <w:rFonts w:ascii="Times New Roman" w:hAnsi="Times New Roman" w:eastAsia="SimSun" w:cs="Times New Roman"/>
                <w:color w:val="000000"/>
                <w:kern w:val="2"/>
                <w:sz w:val="18"/>
                <w:szCs w:val="18"/>
                <w:lang w:eastAsia="zh-CN" w:bidi="hi-IN"/>
              </w:rPr>
              <w:t>0,00</w:t>
            </w:r>
          </w:p>
        </w:tc>
        <w:tc>
          <w:tcPr>
            <w:tcW w:w="122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0</w:t>
            </w:r>
          </w:p>
        </w:tc>
        <w:tc>
          <w:tcPr>
            <w:tcW w:w="130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 не востребован</w:t>
            </w:r>
          </w:p>
        </w:tc>
        <w:tc>
          <w:tcPr>
            <w:tcW w:w="1112"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0</w:t>
            </w:r>
          </w:p>
        </w:tc>
        <w:tc>
          <w:tcPr>
            <w:tcW w:w="1863"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 результативный</w:t>
            </w:r>
          </w:p>
        </w:tc>
        <w:tc>
          <w:tcPr>
            <w:tcW w:w="1575"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 xml:space="preserve">Налоговый расход  </w:t>
            </w:r>
            <w:r>
              <w:rPr>
                <w:rFonts w:ascii="Times New Roman" w:hAnsi="Times New Roman" w:eastAsia="Times New Roman" w:cs="Times New Roman"/>
                <w:kern w:val="2"/>
                <w:sz w:val="18"/>
                <w:szCs w:val="18"/>
                <w:lang w:val="ru-RU" w:eastAsia="zh-CN"/>
              </w:rPr>
              <w:t>относительно</w:t>
            </w:r>
            <w:r>
              <w:rPr>
                <w:rFonts w:hint="default" w:ascii="Times New Roman" w:hAnsi="Times New Roman" w:eastAsia="Times New Roman" w:cs="Times New Roman"/>
                <w:kern w:val="2"/>
                <w:sz w:val="18"/>
                <w:szCs w:val="18"/>
                <w:lang w:val="ru-RU" w:eastAsia="zh-CN"/>
              </w:rPr>
              <w:t xml:space="preserve"> экономный </w:t>
            </w:r>
          </w:p>
        </w:tc>
        <w:tc>
          <w:tcPr>
            <w:tcW w:w="1350" w:type="dxa"/>
            <w:tcBorders>
              <w:top w:val="nil"/>
              <w:left w:val="single" w:color="000000" w:sz="4" w:space="0"/>
              <w:bottom w:val="single" w:color="auto" w:sz="4" w:space="0"/>
              <w:right w:val="nil"/>
            </w:tcBorders>
          </w:tcPr>
          <w:p>
            <w:pPr>
              <w:suppressAutoHyphens/>
              <w:spacing w:after="0" w:line="240" w:lineRule="auto"/>
              <w:jc w:val="center"/>
              <w:rPr>
                <w:rFonts w:ascii="Times New Roman" w:hAnsi="Times New Roman" w:eastAsia="SimSun" w:cs="Times New Roman"/>
                <w:kern w:val="2"/>
                <w:sz w:val="18"/>
                <w:szCs w:val="18"/>
                <w:lang w:eastAsia="zh-CN" w:bidi="hi-IN"/>
              </w:rPr>
            </w:pPr>
            <w:r>
              <w:rPr>
                <w:rFonts w:ascii="Times New Roman" w:hAnsi="Times New Roman" w:eastAsia="SimSun" w:cs="Times New Roman"/>
                <w:kern w:val="2"/>
                <w:sz w:val="18"/>
                <w:szCs w:val="18"/>
                <w:lang w:eastAsia="zh-CN" w:bidi="hi-IN"/>
              </w:rPr>
              <w:t>Х</w:t>
            </w:r>
          </w:p>
        </w:tc>
        <w:tc>
          <w:tcPr>
            <w:tcW w:w="1600" w:type="dxa"/>
            <w:tcBorders>
              <w:top w:val="nil"/>
              <w:left w:val="single" w:color="000000" w:sz="4" w:space="0"/>
              <w:bottom w:val="single" w:color="auto" w:sz="4" w:space="0"/>
              <w:right w:val="single" w:color="000000" w:sz="4" w:space="0"/>
            </w:tcBorders>
          </w:tcPr>
          <w:p>
            <w:pPr>
              <w:suppressAutoHyphens/>
              <w:spacing w:after="0" w:line="240" w:lineRule="auto"/>
              <w:jc w:val="center"/>
              <w:rPr>
                <w:rFonts w:ascii="Times New Roman" w:hAnsi="Times New Roman" w:eastAsia="Times New Roman" w:cs="Times New Roman"/>
                <w:kern w:val="2"/>
                <w:sz w:val="18"/>
                <w:szCs w:val="18"/>
                <w:lang w:eastAsia="zh-CN"/>
              </w:rPr>
            </w:pPr>
            <w:r>
              <w:rPr>
                <w:rFonts w:ascii="Times New Roman" w:hAnsi="Times New Roman" w:eastAsia="Times New Roman" w:cs="Times New Roman"/>
                <w:kern w:val="2"/>
                <w:sz w:val="18"/>
                <w:szCs w:val="18"/>
                <w:lang w:eastAsia="zh-CN"/>
              </w:rPr>
              <w:t>Налоговый расход недостаточно эффективный</w:t>
            </w:r>
          </w:p>
        </w:tc>
      </w:tr>
    </w:tbl>
    <w:p>
      <w:pPr>
        <w:wordWrap/>
        <w:jc w:val="center"/>
        <w:rPr>
          <w:rFonts w:hint="default"/>
          <w:lang w:val="ru-RU"/>
        </w:rPr>
      </w:pPr>
    </w:p>
    <w:p>
      <w:pPr>
        <w:wordWrap/>
        <w:jc w:val="center"/>
        <w:rPr>
          <w:rFonts w:hint="default"/>
          <w:lang w:val="ru-RU"/>
        </w:rPr>
      </w:pPr>
      <w:r>
        <w:rPr>
          <w:rFonts w:hint="default"/>
          <w:lang w:val="ru-RU"/>
        </w:rPr>
        <w:t>____________</w:t>
      </w:r>
    </w:p>
    <w:sectPr>
      <w:footnotePr>
        <w:pos w:val="beneathText"/>
      </w:footnotePr>
      <w:pgSz w:w="16838" w:h="11906" w:orient="landscape"/>
      <w:pgMar w:top="1080" w:right="780" w:bottom="1080" w:left="1135"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 w:name="Mangal">
    <w:panose1 w:val="02040503050203030202"/>
    <w:charset w:val="01"/>
    <w:family w:val="roman"/>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9" w:lineRule="auto"/>
      </w:pPr>
    </w:p>
  </w:footnote>
  <w:footnote w:type="continuationSeparator" w:id="5">
    <w:p>
      <w:pPr>
        <w:spacing w:before="0" w:after="0" w:line="259" w:lineRule="auto"/>
      </w:pPr>
    </w:p>
  </w:footnote>
  <w:footnote w:id="0">
    <w:p>
      <w:pPr>
        <w:pStyle w:val="5"/>
        <w:jc w:val="both"/>
        <w:rPr>
          <w:b/>
          <w:bCs/>
          <w:color w:val="0000FF"/>
          <w:u w:val="single"/>
        </w:rPr>
      </w:pPr>
    </w:p>
  </w:footnote>
  <w:footnote w:id="1">
    <w:p>
      <w:pPr>
        <w:pStyle w:val="5"/>
        <w:jc w:val="both"/>
        <w:rPr>
          <w:rFonts w:hint="default" w:ascii="Times New Roman" w:hAnsi="Times New Roman" w:cs="Times New Roman" w:eastAsiaTheme="minorHAnsi"/>
          <w:b/>
          <w:kern w:val="0"/>
          <w:sz w:val="24"/>
          <w:szCs w:val="24"/>
          <w:lang w:val="ru-RU" w:eastAsia="en-US" w:bidi="ar-S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szCs w:val="28"/>
      </w:rPr>
    </w:pPr>
  </w:p>
  <w:p>
    <w:pPr>
      <w:pStyle w:val="6"/>
      <w:jc w:val="center"/>
      <w:rPr>
        <w:sz w:val="28"/>
        <w:szCs w:val="28"/>
      </w:rPr>
    </w:pPr>
  </w:p>
  <w:p>
    <w:pPr>
      <w:pStyle w:val="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332C5"/>
    <w:multiLevelType w:val="singleLevel"/>
    <w:tmpl w:val="E80332C5"/>
    <w:lvl w:ilvl="0" w:tentative="0">
      <w:start w:val="1"/>
      <w:numFmt w:val="decimal"/>
      <w:suff w:val="space"/>
      <w:lvlText w:val="%1."/>
      <w:lvlJc w:val="left"/>
    </w:lvl>
  </w:abstractNum>
  <w:abstractNum w:abstractNumId="1">
    <w:nsid w:val="15AF6AA7"/>
    <w:multiLevelType w:val="singleLevel"/>
    <w:tmpl w:val="15AF6AA7"/>
    <w:lvl w:ilvl="0" w:tentative="0">
      <w:start w:val="1"/>
      <w:numFmt w:val="decimal"/>
      <w:suff w:val="space"/>
      <w:lvlText w:val="%1."/>
      <w:lvlJc w:val="left"/>
    </w:lvl>
  </w:abstractNum>
  <w:abstractNum w:abstractNumId="2">
    <w:nsid w:val="1702A3C8"/>
    <w:multiLevelType w:val="singleLevel"/>
    <w:tmpl w:val="1702A3C8"/>
    <w:lvl w:ilvl="0" w:tentative="0">
      <w:start w:val="2"/>
      <w:numFmt w:val="decimal"/>
      <w:suff w:val="space"/>
      <w:lvlText w:val="%1."/>
      <w:lvlJc w:val="left"/>
    </w:lvl>
  </w:abstractNum>
  <w:abstractNum w:abstractNumId="3">
    <w:nsid w:val="6A4CCADC"/>
    <w:multiLevelType w:val="singleLevel"/>
    <w:tmpl w:val="6A4CCADC"/>
    <w:lvl w:ilvl="0" w:tentative="0">
      <w:start w:val="3"/>
      <w:numFmt w:val="decimal"/>
      <w:suff w:val="space"/>
      <w:lvlText w:val="%1."/>
      <w:lvlJc w:val="left"/>
      <w:pPr>
        <w:ind w:left="220"/>
      </w:pPr>
      <w:rPr>
        <w:rFonts w:hint="default"/>
        <w:b/>
        <w:bCs/>
        <w:sz w:val="21"/>
        <w:szCs w:val="21"/>
      </w:rPr>
    </w:lvl>
  </w:abstractNum>
  <w:abstractNum w:abstractNumId="4">
    <w:nsid w:val="7D09DD59"/>
    <w:multiLevelType w:val="singleLevel"/>
    <w:tmpl w:val="7D09DD59"/>
    <w:lvl w:ilvl="0" w:tentative="0">
      <w:start w:val="5"/>
      <w:numFmt w:val="decimal"/>
      <w:suff w:val="space"/>
      <w:lvlText w:val="%1."/>
      <w:lvlJc w:val="left"/>
      <w:rPr>
        <w:rFonts w:hint="default"/>
        <w:i/>
        <w:iCs/>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pos w:val="beneathText"/>
    <w:footnote w:id="4"/>
    <w:footnote w:id="5"/>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86"/>
    <w:rsid w:val="00002474"/>
    <w:rsid w:val="00034B2D"/>
    <w:rsid w:val="00104290"/>
    <w:rsid w:val="00104F89"/>
    <w:rsid w:val="00121A52"/>
    <w:rsid w:val="001310B0"/>
    <w:rsid w:val="0013321A"/>
    <w:rsid w:val="00165FF7"/>
    <w:rsid w:val="0019223F"/>
    <w:rsid w:val="001B1569"/>
    <w:rsid w:val="001D5DD1"/>
    <w:rsid w:val="001D5EBC"/>
    <w:rsid w:val="00210184"/>
    <w:rsid w:val="002609B0"/>
    <w:rsid w:val="00285CC1"/>
    <w:rsid w:val="002B0F96"/>
    <w:rsid w:val="002F5A38"/>
    <w:rsid w:val="0031615F"/>
    <w:rsid w:val="0031637F"/>
    <w:rsid w:val="003558D0"/>
    <w:rsid w:val="00387E1A"/>
    <w:rsid w:val="003E3165"/>
    <w:rsid w:val="00400B9E"/>
    <w:rsid w:val="004320BC"/>
    <w:rsid w:val="00462D46"/>
    <w:rsid w:val="004A47B6"/>
    <w:rsid w:val="004B5067"/>
    <w:rsid w:val="005239C9"/>
    <w:rsid w:val="00535A97"/>
    <w:rsid w:val="00542593"/>
    <w:rsid w:val="00595280"/>
    <w:rsid w:val="005F40D1"/>
    <w:rsid w:val="006D0A19"/>
    <w:rsid w:val="006F0E9F"/>
    <w:rsid w:val="0074349C"/>
    <w:rsid w:val="00746CED"/>
    <w:rsid w:val="00752786"/>
    <w:rsid w:val="007751FF"/>
    <w:rsid w:val="007A2BAA"/>
    <w:rsid w:val="007D378A"/>
    <w:rsid w:val="007E4F10"/>
    <w:rsid w:val="007E5510"/>
    <w:rsid w:val="00804E6D"/>
    <w:rsid w:val="0084247E"/>
    <w:rsid w:val="0084368D"/>
    <w:rsid w:val="00854151"/>
    <w:rsid w:val="00863315"/>
    <w:rsid w:val="00896751"/>
    <w:rsid w:val="008B0696"/>
    <w:rsid w:val="0096250A"/>
    <w:rsid w:val="00983026"/>
    <w:rsid w:val="00995FB3"/>
    <w:rsid w:val="00996191"/>
    <w:rsid w:val="009975DC"/>
    <w:rsid w:val="00A17152"/>
    <w:rsid w:val="00A56848"/>
    <w:rsid w:val="00AC6386"/>
    <w:rsid w:val="00B47E87"/>
    <w:rsid w:val="00BA7497"/>
    <w:rsid w:val="00BD0B13"/>
    <w:rsid w:val="00C300D6"/>
    <w:rsid w:val="00C56EF5"/>
    <w:rsid w:val="00C8556F"/>
    <w:rsid w:val="00CE2AF1"/>
    <w:rsid w:val="00CE7C97"/>
    <w:rsid w:val="00D10C86"/>
    <w:rsid w:val="00D57646"/>
    <w:rsid w:val="00D8169B"/>
    <w:rsid w:val="00D84743"/>
    <w:rsid w:val="00DA22CE"/>
    <w:rsid w:val="00E76847"/>
    <w:rsid w:val="00F37582"/>
    <w:rsid w:val="00FA0257"/>
    <w:rsid w:val="00FA19DB"/>
    <w:rsid w:val="00FA3933"/>
    <w:rsid w:val="035C3621"/>
    <w:rsid w:val="08263BCE"/>
    <w:rsid w:val="0A313ED7"/>
    <w:rsid w:val="0FCC118B"/>
    <w:rsid w:val="1D691BAA"/>
    <w:rsid w:val="2202254F"/>
    <w:rsid w:val="25A31840"/>
    <w:rsid w:val="285C0647"/>
    <w:rsid w:val="296D4D6F"/>
    <w:rsid w:val="2A2B6DC2"/>
    <w:rsid w:val="2D7D53BA"/>
    <w:rsid w:val="2DC90C20"/>
    <w:rsid w:val="31716ADE"/>
    <w:rsid w:val="35422940"/>
    <w:rsid w:val="37B75C5B"/>
    <w:rsid w:val="3A7613BA"/>
    <w:rsid w:val="3C9F2951"/>
    <w:rsid w:val="3E3F3D5A"/>
    <w:rsid w:val="414D1A59"/>
    <w:rsid w:val="42105636"/>
    <w:rsid w:val="446D2CAA"/>
    <w:rsid w:val="489F3C58"/>
    <w:rsid w:val="4A58274B"/>
    <w:rsid w:val="4BC16F93"/>
    <w:rsid w:val="4DD62421"/>
    <w:rsid w:val="4EC46E4B"/>
    <w:rsid w:val="4F167DB2"/>
    <w:rsid w:val="4FAC524D"/>
    <w:rsid w:val="54EF50D9"/>
    <w:rsid w:val="55890581"/>
    <w:rsid w:val="56626E56"/>
    <w:rsid w:val="59FD4A77"/>
    <w:rsid w:val="5A9A7390"/>
    <w:rsid w:val="5E275133"/>
    <w:rsid w:val="63C447EE"/>
    <w:rsid w:val="645B06BC"/>
    <w:rsid w:val="645E5B15"/>
    <w:rsid w:val="68A375CB"/>
    <w:rsid w:val="68DC6F55"/>
    <w:rsid w:val="69B650F2"/>
    <w:rsid w:val="6E431F7B"/>
    <w:rsid w:val="77F65736"/>
    <w:rsid w:val="7801122D"/>
    <w:rsid w:val="7B5E2936"/>
    <w:rsid w:val="7B5E5D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Segoe UI" w:hAnsi="Segoe UI" w:cs="Segoe UI"/>
      <w:sz w:val="18"/>
      <w:szCs w:val="18"/>
    </w:rPr>
  </w:style>
  <w:style w:type="paragraph" w:styleId="5">
    <w:name w:val="footnote text"/>
    <w:basedOn w:val="1"/>
    <w:semiHidden/>
    <w:unhideWhenUsed/>
    <w:qFormat/>
    <w:uiPriority w:val="0"/>
    <w:pPr>
      <w:suppressAutoHyphens/>
      <w:spacing w:after="0" w:line="240" w:lineRule="auto"/>
    </w:pPr>
    <w:rPr>
      <w:rFonts w:ascii="Times New Roman" w:hAnsi="Times New Roman" w:eastAsia="Times New Roman" w:cs="Times New Roman"/>
      <w:kern w:val="2"/>
      <w:sz w:val="20"/>
      <w:szCs w:val="20"/>
      <w:lang w:val="zh-CN" w:eastAsia="zh-CN"/>
    </w:rPr>
  </w:style>
  <w:style w:type="paragraph" w:styleId="6">
    <w:name w:val="header"/>
    <w:basedOn w:val="1"/>
    <w:link w:val="11"/>
    <w:semiHidden/>
    <w:unhideWhenUsed/>
    <w:qFormat/>
    <w:uiPriority w:val="99"/>
    <w:pPr>
      <w:tabs>
        <w:tab w:val="center" w:pos="4677"/>
        <w:tab w:val="right" w:pos="9355"/>
      </w:tabs>
      <w:spacing w:after="0" w:line="240" w:lineRule="auto"/>
    </w:pPr>
  </w:style>
  <w:style w:type="paragraph" w:styleId="7">
    <w:name w:val="footer"/>
    <w:basedOn w:val="1"/>
    <w:link w:val="12"/>
    <w:semiHidden/>
    <w:unhideWhenUsed/>
    <w:qFormat/>
    <w:uiPriority w:val="99"/>
    <w:pPr>
      <w:tabs>
        <w:tab w:val="center" w:pos="4677"/>
        <w:tab w:val="right" w:pos="9355"/>
      </w:tabs>
      <w:spacing w:after="0" w:line="240" w:lineRule="auto"/>
    </w:pPr>
  </w:style>
  <w:style w:type="paragraph" w:styleId="8">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9">
    <w:name w:val="Текст выноски Знак"/>
    <w:basedOn w:val="2"/>
    <w:link w:val="4"/>
    <w:semiHidden/>
    <w:qFormat/>
    <w:uiPriority w:val="99"/>
    <w:rPr>
      <w:rFonts w:ascii="Segoe UI" w:hAnsi="Segoe UI" w:cs="Segoe UI"/>
      <w:sz w:val="18"/>
      <w:szCs w:val="18"/>
    </w:rPr>
  </w:style>
  <w:style w:type="paragraph" w:styleId="10">
    <w:name w:val="List Paragraph"/>
    <w:basedOn w:val="1"/>
    <w:qFormat/>
    <w:uiPriority w:val="34"/>
    <w:pPr>
      <w:ind w:left="720"/>
      <w:contextualSpacing/>
    </w:pPr>
  </w:style>
  <w:style w:type="character" w:customStyle="1" w:styleId="11">
    <w:name w:val="Верхний колонтитул Знак"/>
    <w:basedOn w:val="2"/>
    <w:link w:val="6"/>
    <w:semiHidden/>
    <w:qFormat/>
    <w:uiPriority w:val="99"/>
  </w:style>
  <w:style w:type="character" w:customStyle="1" w:styleId="12">
    <w:name w:val="Нижний колонтитул Знак"/>
    <w:basedOn w:val="2"/>
    <w:link w:val="7"/>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2484</Words>
  <Characters>14159</Characters>
  <Lines>117</Lines>
  <Paragraphs>33</Paragraphs>
  <TotalTime>1</TotalTime>
  <ScaleCrop>false</ScaleCrop>
  <LinksUpToDate>false</LinksUpToDate>
  <CharactersWithSpaces>16610</CharactersWithSpaces>
  <Application>WPS Office_11.2.0.11373_F1E327BC-269C-435d-A152-05C5408002CA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2021-10-16T01:31:00Z</dcterms:created>
  <dc:creator>orlovaa9048851878@gmail.com</dc:creator>
  <cp:lastModifiedBy>OrlovaON</cp:lastModifiedBy>
  <cp:lastPrinted>2022-10-24T06:52:00Z</cp:lastPrinted>
  <dcterms:modified xsi:type="dcterms:W3CDTF">2022-10-24T06:59:12Z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1049-11.2.0.11373</vt:lpwstr>
  </property>
  <property fmtid="{D5CDD505-2E9C-101B-9397-08002B2CF9AE}" pid="3" name="ICV">
    <vt:lpwstr>C7807B8C6C3E4B4BA08B9FC6757C7338</vt:lpwstr>
  </property>
</Properties>
</file>