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88607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647700" cy="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0pt;height:69.77pt;mso-wrap-distance-left:0.00pt;mso-wrap-distance-top:0.00pt;mso-wrap-distance-right:0.00pt;mso-wrap-distance-bottom:0.00pt;" stroked="f">
                <v:path textboxrect="0,0,0,0"/>
                <v:imagedata r:id="rId7" o:title=""/>
              </v:shape>
            </w:pict>
          </mc:Fallback>
        </mc:AlternateContent>
      </w:r>
      <w:r>
        <w:rPr>
          <w:rFonts w:eastAsia="Times New Roman"/>
          <w:sz w:val="20"/>
          <w:szCs w:val="20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b/>
          <w:sz w:val="24"/>
          <w:szCs w:val="24"/>
          <w:lang w:val="en-US"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БЕЛОЯРСКИЙ РАЙОН</w:t>
      </w:r>
    </w:p>
    <w:p>
      <w:pPr>
        <w:pStyle w:val="Normal"/>
        <w:keepNext/>
        <w:spacing w:after="0" w:line="240" w:lineRule="auto"/>
        <w:jc w:val="center"/>
        <w:outlineLvl w:val="2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ХАНТЫ-МАНСИЙСКИЙ АВТОНОМНЫЙ ОКРУГ – ЮГРА</w:t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Normal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Normal"/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АДМИНИСТРАЦИЯ БЕЛОЯРСКОГО РАЙОНА</w:t>
      </w:r>
    </w:p>
    <w:p>
      <w:pPr>
        <w:pStyle w:val="Heading2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Heading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ПОСТАНОВЛЕНИЕ</w:t>
      </w:r>
    </w:p>
    <w:p>
      <w:pPr>
        <w:pStyle w:val="Normal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5 декабря</w:t>
      </w:r>
      <w:r>
        <w:rPr>
          <w:rFonts w:eastAsia="Times New Roman"/>
          <w:sz w:val="24"/>
          <w:szCs w:val="24"/>
          <w:lang w:eastAsia="ru-RU"/>
        </w:rPr>
        <w:t xml:space="preserve"> 2024 года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 xml:space="preserve">№ </w:t>
      </w:r>
      <w:r>
        <w:rPr>
          <w:rFonts w:eastAsia="Times New Roman"/>
          <w:sz w:val="24"/>
          <w:szCs w:val="24"/>
          <w:lang w:eastAsia="ru-RU"/>
        </w:rPr>
        <w:t xml:space="preserve">845</w:t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Об утверждении муниципальной программы Белоярского района</w:t>
      </w:r>
    </w:p>
    <w:p>
      <w:pPr>
        <w:pStyle w:val="Normal"/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«Развитие агропромышленного комплекса»</w:t>
      </w:r>
    </w:p>
    <w:p>
      <w:pPr>
        <w:pStyle w:val="Normal"/>
        <w:jc w:val="center"/>
      </w:pPr>
      <w:r>
        <w:t xml:space="preserve">(в редакции постановления</w:t>
      </w:r>
      <w:r>
        <w:t xml:space="preserve"> администрации Белоярского района </w:t>
      </w:r>
      <w:r>
        <w:t xml:space="preserve">от 10 февраля 2025 года №78)</w:t>
      </w:r>
    </w:p>
    <w:p>
      <w:pPr>
        <w:pStyle w:val="Normal"/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В соответствии с постановлением администрации Белоярского района от 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</w:t>
      </w:r>
      <w:r>
        <w:rPr>
          <w:rFonts w:eastAsia="Times New Roman"/>
          <w:bCs/>
          <w:sz w:val="24"/>
          <w:szCs w:val="24"/>
          <w:lang w:eastAsia="ru-RU"/>
        </w:rPr>
        <w:t xml:space="preserve">айона от 15 августа 2018 года </w:t>
      </w:r>
      <w:r>
        <w:rPr>
          <w:rFonts w:eastAsia="Times New Roman"/>
          <w:bCs/>
          <w:sz w:val="24"/>
          <w:szCs w:val="24"/>
          <w:lang w:eastAsia="ru-RU"/>
        </w:rPr>
        <w:t xml:space="preserve">№ 245-р «О Перечне муниципальных программ Белоярского района» п о с т а н о в л я ю:</w:t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1. Утвердить прилагаемую муниципальную программу Белоярского района «</w:t>
      </w:r>
      <w:r>
        <w:rPr>
          <w:rFonts w:eastAsia="Times New Roman"/>
          <w:sz w:val="24"/>
          <w:szCs w:val="24"/>
        </w:rPr>
        <w:t xml:space="preserve">Развитие агропромышленного комплекса».</w:t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2. Опубликовать настоящее постановление в газете «Белоярские вести. Официальный выпуск».</w:t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3. Настоящее постановление вступает в силу после его официального опубликования, но не </w:t>
      </w:r>
      <w:r>
        <w:rPr>
          <w:rFonts w:eastAsia="Times New Roman"/>
          <w:sz w:val="24"/>
          <w:szCs w:val="24"/>
        </w:rPr>
        <w:t xml:space="preserve">ранее 1 января 2025 года</w:t>
      </w:r>
      <w:r>
        <w:rPr>
          <w:rFonts w:eastAsia="Times New Roman"/>
          <w:sz w:val="24"/>
          <w:szCs w:val="24"/>
        </w:rPr>
        <w:t xml:space="preserve">.</w:t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</w:rPr>
        <w:t xml:space="preserve">4. Контроль за выполнением постановления возложить на заместителя главы Белоярского района Ващука В.А.</w:t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pStyle w:val="Normal"/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Глава Белоярского район   </w:t>
        <w:tab/>
        <w:tab/>
        <w:tab/>
        <w:tab/>
        <w:tab/>
        <w:tab/>
        <w:t xml:space="preserve">                                  С.П.Маненков</w:t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  <w:sectPr>
          <w:type w:val="nextPage"/>
          <w:pgSz w:w="11906" w:h="16838"/>
          <w:pgMar w:top="720" w:right="720" w:bottom="720" w:left="1276" w:header="708" w:footer="708" w:gutter="0"/>
          <w:cols w:space="720"/>
          <w:docGrid w:linePitch="360"/>
          <w:titlePg/>
        </w:sect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</w:r>
    </w:p>
    <w:p>
      <w:pPr>
        <w:pStyle w:val="Normal"/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УТВЕРЖДЕНА</w:t>
      </w:r>
    </w:p>
    <w:p>
      <w:pPr>
        <w:pStyle w:val="Normal"/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постановлением администрации</w:t>
      </w:r>
    </w:p>
    <w:p>
      <w:pPr>
        <w:pStyle w:val="Normal"/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Белоярского района</w:t>
      </w:r>
    </w:p>
    <w:p>
      <w:pPr>
        <w:pStyle w:val="Normal"/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5 декабря 2024 года № 845</w:t>
      </w:r>
      <w:r>
        <w:rPr>
          <w:rFonts w:eastAsia="Times New Roman"/>
          <w:sz w:val="24"/>
          <w:szCs w:val="24"/>
        </w:rPr>
      </w:r>
    </w:p>
    <w:p>
      <w:pPr>
        <w:pStyle w:val="BodyTextIndent3"/>
        <w:ind w:right="-23"/>
        <w:jc w:val="left"/>
        <w:rPr>
          <w:szCs w:val="24"/>
        </w:rPr>
      </w:pPr>
      <w:r>
        <w:rPr>
          <w:szCs w:val="24"/>
        </w:rPr>
      </w:r>
    </w:p>
    <w:p>
      <w:pPr>
        <w:pStyle w:val="BodyTextIndent3"/>
        <w:ind w:right="-23"/>
        <w:rPr>
          <w:b/>
          <w:szCs w:val="24"/>
        </w:rPr>
      </w:pPr>
      <w:r>
        <w:rPr>
          <w:b/>
          <w:szCs w:val="24"/>
        </w:rPr>
      </w:r>
    </w:p>
    <w:p>
      <w:pPr>
        <w:pStyle w:val="UserStyle_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Белоярского района</w:t>
      </w:r>
    </w:p>
    <w:p>
      <w:pPr>
        <w:pStyle w:val="UserStyle_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«Развитие агропромышленного комплекса»</w:t>
      </w:r>
    </w:p>
    <w:p>
      <w:pPr>
        <w:pStyle w:val="UserStyle_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(далее также – муниципальная программа)</w:t>
      </w:r>
    </w:p>
    <w:p>
      <w:pPr>
        <w:pStyle w:val="UserStyle_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</w:t>
      </w:r>
    </w:p>
    <w:p>
      <w:pPr>
        <w:pStyle w:val="UserStyle_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Белоярского района </w:t>
      </w:r>
    </w:p>
    <w:p>
      <w:pPr>
        <w:pStyle w:val="UserStyle_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агропромышленного комплекса»</w:t>
      </w:r>
    </w:p>
    <w:p>
      <w:pPr>
        <w:pStyle w:val="BodyTextIndent3"/>
        <w:ind w:right="-23"/>
        <w:rPr>
          <w:b/>
          <w:szCs w:val="24"/>
        </w:rPr>
      </w:pPr>
      <w:r>
        <w:rPr>
          <w:b/>
          <w:szCs w:val="24"/>
        </w:rPr>
      </w:r>
    </w:p>
    <w:p>
      <w:pPr>
        <w:pStyle w:val="BodyTextIndent3"/>
        <w:numPr>
          <w:numId w:val="1"/>
          <w:ilvl w:val="0"/>
        </w:numPr>
        <w:ind w:right="-23"/>
        <w:rPr>
          <w:szCs w:val="24"/>
        </w:rPr>
      </w:pPr>
      <w:r>
        <w:rPr>
          <w:szCs w:val="24"/>
        </w:rPr>
        <w:t xml:space="preserve">Основные положения</w:t>
      </w:r>
    </w:p>
    <w:p>
      <w:pPr>
        <w:pStyle w:val="BodyTextIndent3"/>
        <w:ind w:left="720" w:right="-23"/>
        <w:jc w:val="left"/>
        <w:rPr>
          <w:szCs w:val="24"/>
        </w:rPr>
      </w:pPr>
      <w:r>
        <w:rPr>
          <w:szCs w:val="24"/>
        </w:rPr>
      </w:r>
    </w:p>
    <w:tbl>
      <w:tblPr>
        <w:tblW w:w="1531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204"/>
        <w:gridCol w:w="9106"/>
      </w:tblGrid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муниципальной программы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 xml:space="preserve">З</w:t>
            </w:r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аместитель главы Белоярского района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 xml:space="preserve">Управление природопользования, сельского хозяйства и развития предпринимательства администрации Белоярского района (далее - УПСХиРП)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муниципальной программы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zh-CN" w:bidi="ar"/>
              </w:rPr>
              <w:t xml:space="preserve">2025-2030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7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муниципальной программы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Устойчивое развитие агропромышленного комплекса и сельских территорий, повышение конкурентоспособности сельскохозяйственной продукции, произведенной на территории Белоярского района</w:t>
              <w:tab/>
              <w:tab/>
            </w:r>
          </w:p>
        </w:tc>
      </w:tr>
      <w:tr>
        <w:trPr>
          <w:trHeight w:val="4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(подпрограммы) муниципальной программы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</w:p>
        </w:tc>
      </w:tr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финансового обеспечения за весь период реализации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zh-CN" w:bidi="ar"/>
              </w:rPr>
            </w:pPr>
            <w:r>
              <w:rPr>
                <w:color w:val="000000"/>
                <w:sz w:val="24"/>
                <w:szCs w:val="24"/>
                <w:lang w:eastAsia="zh-CN" w:bidi="ar"/>
              </w:rPr>
              <w:t xml:space="preserve">345 </w:t>
            </w:r>
            <w:r>
              <w:rPr>
                <w:color w:val="000000"/>
                <w:sz w:val="24"/>
                <w:szCs w:val="24"/>
                <w:lang w:eastAsia="zh-CN" w:bidi="ar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zh-CN" w:bidi="ar"/>
              </w:rPr>
              <w:t xml:space="preserve">04,6 тысяч рублей</w:t>
              <w:tab/>
            </w:r>
          </w:p>
        </w:tc>
      </w:tr>
      <w:tr>
        <w:trPr>
          <w:trHeight w:val="102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национальными целями развития Российской Федерации/ государственными программами Ханты-Мансийского автономного округа - Югры 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9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программа Ханты-Мансийского автономного округа - Югры «Развитие агропромышленного комплекса»</w:t>
            </w:r>
          </w:p>
        </w:tc>
      </w:tr>
    </w:tbl>
    <w:p>
      <w:pPr>
        <w:pStyle w:val="Normal"/>
        <w:spacing w:after="0"/>
        <w:ind w:left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spacing w:after="0" w:line="25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after="0" w:line="240" w:lineRule="auto"/>
        <w:ind w:firstLine="5520"/>
        <w:jc w:val="both"/>
        <w:rPr>
          <w:color w:val="000000"/>
          <w:sz w:val="24"/>
          <w:szCs w:val="24"/>
          <w:lang w:eastAsia="zh-CN" w:bidi="ar"/>
        </w:rPr>
      </w:pPr>
      <w:r>
        <w:rPr>
          <w:color w:val="000000"/>
          <w:sz w:val="24"/>
          <w:szCs w:val="24"/>
          <w:lang w:eastAsia="zh-CN" w:bidi="ar"/>
        </w:rPr>
      </w:r>
    </w:p>
    <w:p>
      <w:pPr>
        <w:pStyle w:val="Normal"/>
        <w:spacing w:after="0" w:line="240" w:lineRule="auto"/>
        <w:ind w:firstLine="5520"/>
        <w:jc w:val="both"/>
        <w:rPr>
          <w:color w:val="000000"/>
          <w:sz w:val="24"/>
          <w:szCs w:val="24"/>
          <w:lang w:eastAsia="zh-CN" w:bidi="ar"/>
        </w:rPr>
      </w:pPr>
      <w:r>
        <w:rPr>
          <w:color w:val="000000"/>
          <w:sz w:val="24"/>
          <w:szCs w:val="24"/>
          <w:lang w:eastAsia="zh-CN" w:bidi="ar"/>
        </w:rPr>
      </w:r>
    </w:p>
    <w:p>
      <w:pPr>
        <w:pStyle w:val="Normal"/>
        <w:numPr>
          <w:numId w:val="2"/>
          <w:ilvl w:val="0"/>
        </w:numPr>
        <w:spacing w:after="0" w:line="240" w:lineRule="auto"/>
        <w:ind w:firstLine="5520"/>
        <w:jc w:val="both"/>
        <w:rPr>
          <w:color w:val="000000"/>
          <w:sz w:val="24"/>
          <w:szCs w:val="24"/>
          <w:lang w:eastAsia="ru-RU" w:bidi="ar"/>
        </w:rPr>
        <w:sectPr>
          <w:type w:val="nextPage"/>
          <w:pgSz w:w="16838" w:h="11906" w:orient="landscape"/>
          <w:pgMar w:top="836" w:right="720" w:bottom="720" w:left="720" w:header="708" w:footer="708" w:gutter="0"/>
          <w:cols w:space="720"/>
          <w:docGrid w:linePitch="360"/>
          <w:titlePg/>
        </w:sectPr>
      </w:pPr>
      <w:r>
        <w:rPr>
          <w:color w:val="000000"/>
          <w:sz w:val="24"/>
          <w:szCs w:val="24"/>
          <w:lang w:eastAsia="ru-RU" w:bidi="ar"/>
        </w:rPr>
      </w:r>
    </w:p>
    <w:p>
      <w:pPr>
        <w:pStyle w:val="Normal"/>
        <w:numPr>
          <w:numId w:val="2"/>
          <w:ilvl w:val="0"/>
        </w:numPr>
        <w:spacing w:after="0" w:line="240" w:lineRule="auto"/>
        <w:ind w:firstLine="5520"/>
        <w:jc w:val="both"/>
        <w:rPr>
          <w:color w:val="000000"/>
          <w:sz w:val="24"/>
          <w:szCs w:val="24"/>
          <w:lang w:val="en-US" w:eastAsia="zh-CN" w:bidi="ar"/>
        </w:rPr>
      </w:pPr>
      <w:r>
        <w:rPr>
          <w:color w:val="000000"/>
          <w:sz w:val="24"/>
          <w:szCs w:val="24"/>
          <w:lang w:val="en-US" w:eastAsia="zh-CN" w:bidi="ar"/>
        </w:rPr>
        <w:t xml:space="preserve">Показатели муниципальной программы</w:t>
      </w:r>
    </w:p>
    <w:p>
      <w:pPr>
        <w:pStyle w:val="Normal"/>
        <w:tabs>
          <w:tab w:val="left" w:pos="763" w:leader="none"/>
          <w:tab w:val="left" w:pos="2566" w:leader="none"/>
          <w:tab w:val="left" w:pos="3766" w:leader="none"/>
          <w:tab w:val="left" w:pos="5542" w:leader="none"/>
          <w:tab w:val="left" w:pos="10489" w:leader="none"/>
          <w:tab w:val="left" w:pos="13258" w:leader="none"/>
          <w:tab w:val="left" w:pos="14518" w:leader="none"/>
        </w:tabs>
        <w:jc w:val="center"/>
        <w:rPr>
          <w:sz w:val="19"/>
          <w:szCs w:val="19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  <w:tab/>
        <w:tab/>
      </w:r>
      <w:r>
        <w:rPr>
          <w:sz w:val="20"/>
          <w:szCs w:val="20"/>
          <w:lang w:val="en-US" w:eastAsia="zh-CN" w:bidi="ar"/>
        </w:rPr>
        <w:tab/>
      </w:r>
      <w:r>
        <w:rPr>
          <w:sz w:val="19"/>
          <w:szCs w:val="19"/>
          <w:lang w:val="en-US" w:eastAsia="zh-CN" w:bidi="ar"/>
        </w:rPr>
      </w:r>
    </w:p>
    <w:tbl>
      <w:tblPr>
        <w:tblW w:w="1497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582"/>
        <w:gridCol w:w="1560"/>
        <w:gridCol w:w="1134"/>
        <w:gridCol w:w="984"/>
        <w:gridCol w:w="792"/>
        <w:gridCol w:w="768"/>
        <w:gridCol w:w="948"/>
        <w:gridCol w:w="792"/>
        <w:gridCol w:w="780"/>
        <w:gridCol w:w="840"/>
        <w:gridCol w:w="819"/>
        <w:gridCol w:w="2426"/>
        <w:gridCol w:w="1260"/>
        <w:gridCol w:w="1291"/>
      </w:tblGrid>
      <w:tr>
        <w:trPr>
          <w:trHeight w:val="391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vMerge w:val="restart"/>
            <w:tcBorders>
              <w:top w:val="single" w:color="000000" w:sz="4" w:space="0"/>
              <w:bottom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№</w:t>
            </w: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 п/п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Наименование показателя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UserStyle_12"/>
                <w:sz w:val="18"/>
                <w:szCs w:val="18"/>
                <w:lang w:val="en-US" w:eastAsia="zh-CN" w:bidi="ar"/>
              </w:rPr>
              <w:t xml:space="preserve">Единица измерения (по </w:t>
            </w:r>
            <w:r>
              <w:rPr>
                <w:rStyle w:val="UserStyle_13"/>
                <w:sz w:val="18"/>
                <w:szCs w:val="18"/>
                <w:lang w:val="en-US" w:eastAsia="zh-CN" w:bidi="ar"/>
              </w:rPr>
              <w:t xml:space="preserve">ОКЕИ) 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Базовое значение</w:t>
            </w:r>
            <w:r>
              <w:rPr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947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Значение показателя по годам</w:t>
            </w:r>
          </w:p>
        </w:tc>
        <w:tc>
          <w:tcPr>
            <w:tcW w:w="2426" w:type="dxa"/>
            <w:vMerge w:val="restart"/>
            <w:tcBorders>
              <w:top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Документ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sz w:val="18"/>
                <w:szCs w:val="18"/>
                <w:lang w:val="en-US" w:eastAsia="zh-CN" w:bidi="ar"/>
              </w:rPr>
              <w:instrText xml:space="preserve"> HYPERLINK "" \l "_ftn3" </w:instrText>
            </w:r>
            <w:r>
              <w:rPr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Hyperlink"/>
                <w:color w:val="000000"/>
                <w:sz w:val="18"/>
                <w:szCs w:val="18"/>
                <w:u w:val="none"/>
              </w:rPr>
              <w:t xml:space="preserve">Ответственный за достижение показателя</w:t>
            </w:r>
            <w:r>
              <w:rPr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sz w:val="18"/>
                <w:szCs w:val="18"/>
              </w:rPr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sz w:val="18"/>
                <w:szCs w:val="18"/>
                <w:lang w:eastAsia="zh-CN" w:bidi="ar"/>
              </w:rPr>
              <w:instrText xml:space="preserve"> </w:instrText>
            </w:r>
            <w:r>
              <w:rPr>
                <w:sz w:val="18"/>
                <w:szCs w:val="18"/>
                <w:lang w:val="en-US" w:eastAsia="zh-CN" w:bidi="ar"/>
              </w:rPr>
              <w:instrText xml:space="preserve">HYPERLINK</w:instrText>
            </w:r>
            <w:r>
              <w:rPr>
                <w:sz w:val="18"/>
                <w:szCs w:val="18"/>
                <w:lang w:eastAsia="zh-CN" w:bidi="ar"/>
              </w:rPr>
              <w:instrText xml:space="preserve"> "" \</w:instrText>
            </w:r>
            <w:r>
              <w:rPr>
                <w:sz w:val="18"/>
                <w:szCs w:val="18"/>
                <w:lang w:val="en-US" w:eastAsia="zh-CN" w:bidi="ar"/>
              </w:rPr>
              <w:instrText xml:space="preserve">l</w:instrText>
            </w:r>
            <w:r>
              <w:rPr>
                <w:sz w:val="18"/>
                <w:szCs w:val="18"/>
                <w:lang w:eastAsia="zh-CN" w:bidi="ar"/>
              </w:rPr>
              <w:instrText xml:space="preserve"> "_</w:instrText>
            </w:r>
            <w:r>
              <w:rPr>
                <w:sz w:val="18"/>
                <w:szCs w:val="18"/>
                <w:lang w:val="en-US" w:eastAsia="zh-CN" w:bidi="ar"/>
              </w:rPr>
              <w:instrText xml:space="preserve">ftn</w:instrText>
            </w:r>
            <w:r>
              <w:rPr>
                <w:sz w:val="18"/>
                <w:szCs w:val="18"/>
                <w:lang w:eastAsia="zh-CN" w:bidi="ar"/>
              </w:rPr>
              <w:instrText xml:space="preserve">4" </w:instrText>
            </w:r>
            <w:r>
              <w:rPr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Hyperlink"/>
                <w:color w:val="000000"/>
                <w:sz w:val="18"/>
                <w:szCs w:val="18"/>
                <w:u w:val="none"/>
              </w:rPr>
              <w:t xml:space="preserve">Связь с показателями национальных целей</w:t>
            </w:r>
            <w:r>
              <w:rPr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446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vMerge w:val="continue"/>
            <w:tcBorders>
              <w:top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84" w:type="dxa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значение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92" w:type="dxa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год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68" w:type="dxa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8" w:type="dxa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92" w:type="dxa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80" w:type="dxa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40" w:type="dxa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19" w:type="dxa"/>
            <w:tcBorders>
              <w:top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2030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26" w:type="dxa"/>
            <w:vMerge w:val="continue"/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60" w:type="dxa"/>
            <w:vMerge w:val="continue"/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ff"/>
                <w:sz w:val="18"/>
                <w:szCs w:val="18"/>
                <w:u w:val="single"/>
              </w:rPr>
            </w:pPr>
            <w:r>
              <w:rPr>
                <w:color w:val="0000ff"/>
                <w:sz w:val="18"/>
                <w:szCs w:val="18"/>
                <w:u w:val="single"/>
              </w:rPr>
            </w:r>
          </w:p>
        </w:tc>
        <w:tc>
          <w:tcPr>
            <w:tcW w:w="1291" w:type="dxa"/>
            <w:vMerge w:val="continue"/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ff"/>
                <w:sz w:val="18"/>
                <w:szCs w:val="18"/>
                <w:u w:val="single"/>
              </w:rPr>
            </w:pPr>
            <w:r>
              <w:rPr>
                <w:color w:val="0000ff"/>
                <w:sz w:val="18"/>
                <w:szCs w:val="18"/>
                <w:u w:val="single"/>
              </w:rPr>
            </w:r>
          </w:p>
        </w:tc>
      </w:tr>
      <w:tr>
        <w:trPr>
          <w:trHeight w:val="160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6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7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9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10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19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2426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976" w:type="dxa"/>
            <w:gridSpan w:val="14"/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 xml:space="preserve">Цель  «Устойчивое развитие агропромышленного комплекса и сельских территорий, повышение конкурентоспособности сельскохозяйственной продукции, произведенной на территории Белоярского района»</w:t>
            </w:r>
            <w:r>
              <w:rPr>
                <w:color w:val="000000"/>
                <w:sz w:val="18"/>
                <w:szCs w:val="18"/>
                <w:lang w:eastAsia="zh-CN" w:bidi="ar"/>
              </w:rPr>
            </w:r>
          </w:p>
        </w:tc>
      </w:tr>
      <w:tr>
        <w:trPr>
          <w:trHeight w:val="17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Производство молока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тыс.тонн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0,877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2024</w:t>
            </w:r>
          </w:p>
        </w:tc>
        <w:tc>
          <w:tcPr>
            <w:tcW w:w="76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0,976</w:t>
            </w:r>
          </w:p>
        </w:tc>
        <w:tc>
          <w:tcPr>
            <w:tcW w:w="94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1,08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1,182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1,182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1,182</w:t>
            </w:r>
          </w:p>
        </w:tc>
        <w:tc>
          <w:tcPr>
            <w:tcW w:w="819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1,182</w:t>
            </w:r>
          </w:p>
        </w:tc>
        <w:tc>
          <w:tcPr>
            <w:tcW w:w="2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Постановление Правительства ХМАО - Югры от 10.11.2023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№ 554-п  «О государственной программе Ханты-Мансийского автономного округа - Югры «Развитие агропромышленного комплекса»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УПСХиРП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</w:p>
        </w:tc>
      </w:tr>
      <w:tr>
        <w:trPr>
          <w:trHeight w:val="204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Производство скота и птицы на убой (в живом весе)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тыс.тонн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0,175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2024</w:t>
            </w:r>
          </w:p>
        </w:tc>
        <w:tc>
          <w:tcPr>
            <w:tcW w:w="76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0,185</w:t>
            </w:r>
          </w:p>
        </w:tc>
        <w:tc>
          <w:tcPr>
            <w:tcW w:w="94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0,185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0,185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0,185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0,185</w:t>
            </w:r>
          </w:p>
        </w:tc>
        <w:tc>
          <w:tcPr>
            <w:tcW w:w="819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0,185</w:t>
            </w:r>
          </w:p>
        </w:tc>
        <w:tc>
          <w:tcPr>
            <w:tcW w:w="2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Постановление Правительства ХМАО - Югры от 10.11.2023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554-п «О государственной программе Ханты-Мансийского автономного округа - Югры «Развитие агропромышленного комплекса»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УПСХиРП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</w:p>
        </w:tc>
      </w:tr>
      <w:tr>
        <w:trPr>
          <w:trHeight w:val="144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Производство яиц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тыс.шт.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320,0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2024</w:t>
            </w:r>
          </w:p>
        </w:tc>
        <w:tc>
          <w:tcPr>
            <w:tcW w:w="76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375,0</w:t>
            </w:r>
          </w:p>
        </w:tc>
        <w:tc>
          <w:tcPr>
            <w:tcW w:w="94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430,0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578,0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1735,0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2256,0</w:t>
            </w:r>
          </w:p>
        </w:tc>
        <w:tc>
          <w:tcPr>
            <w:tcW w:w="819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3150,0</w:t>
            </w:r>
          </w:p>
        </w:tc>
        <w:tc>
          <w:tcPr>
            <w:tcW w:w="2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Постановление Правительства ХМАО - Югры от 10.11.2023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N 554-п </w:t>
            </w:r>
          </w:p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«О государственной программе Ханты-Мансийского автономного округа - Югры «Развитие агропромышленного комплекса»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УПСХиРП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</w:p>
        </w:tc>
      </w:tr>
      <w:tr>
        <w:trPr>
          <w:trHeight w:val="208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4</w:t>
            </w:r>
          </w:p>
        </w:tc>
        <w:tc>
          <w:tcPr>
            <w:tcW w:w="15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 птицефермы яичного направления</w:t>
            </w:r>
          </w:p>
        </w:tc>
        <w:tc>
          <w:tcPr>
            <w:tcW w:w="113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единиц</w:t>
            </w:r>
          </w:p>
        </w:tc>
        <w:tc>
          <w:tcPr>
            <w:tcW w:w="984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2024</w:t>
            </w:r>
          </w:p>
        </w:tc>
        <w:tc>
          <w:tcPr>
            <w:tcW w:w="76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</w:p>
        </w:tc>
        <w:tc>
          <w:tcPr>
            <w:tcW w:w="948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</w:p>
        </w:tc>
        <w:tc>
          <w:tcPr>
            <w:tcW w:w="78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</w:p>
        </w:tc>
        <w:tc>
          <w:tcPr>
            <w:tcW w:w="84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</w:p>
        </w:tc>
        <w:tc>
          <w:tcPr>
            <w:tcW w:w="819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</w:t>
            </w:r>
          </w:p>
        </w:tc>
        <w:tc>
          <w:tcPr>
            <w:tcW w:w="242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Решение Думы Белоярского района  от 29  октября 2014 года  № 484 "Об утверждении Стратегии социально-экономического развития Белоярского района до 2036 года"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Управление капитального строительства администрации Белоярского района  </w:t>
            </w:r>
          </w:p>
          <w:p>
            <w:pPr>
              <w:pStyle w:val="Normal"/>
              <w:spacing w:after="0" w:line="240" w:lineRule="auto"/>
              <w:jc w:val="both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(далее - УКС)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</w:t>
            </w:r>
          </w:p>
        </w:tc>
      </w:tr>
    </w:tbl>
    <w:p>
      <w:pPr>
        <w:pStyle w:val="Normal"/>
        <w:spacing w:after="0" w:line="240" w:lineRule="auto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</w:r>
    </w:p>
    <w:p>
      <w:pPr>
        <w:pStyle w:val="Normal"/>
        <w:jc w:val="center"/>
        <w:rPr>
          <w:color w:val="000000"/>
          <w:sz w:val="20"/>
          <w:szCs w:val="20"/>
          <w:lang w:val="en-US" w:eastAsia="zh-CN" w:bidi="ar"/>
        </w:rPr>
      </w:pPr>
      <w:r>
        <w:rPr>
          <w:color w:val="000000"/>
          <w:sz w:val="20"/>
          <w:szCs w:val="20"/>
          <w:lang w:val="en-US" w:eastAsia="zh-CN" w:bidi="ar"/>
        </w:rPr>
        <w:t xml:space="preserve">3. Структура муниципальной программы</w:t>
      </w:r>
    </w:p>
    <w:tbl>
      <w:tblPr>
        <w:tblW w:w="1545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763"/>
        <w:gridCol w:w="3315"/>
        <w:gridCol w:w="6411"/>
        <w:gridCol w:w="4965"/>
      </w:tblGrid>
      <w:tr>
        <w:trPr>
          <w:trHeight w:val="441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 w:bidi="ar"/>
              </w:rPr>
              <w:t xml:space="preserve">№</w:t>
            </w: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 п/п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5" w:type="dxa"/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Задачи структурного элемента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11" w:type="dxa"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 w:bidi="ar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5" w:type="dxa"/>
            <w:noWrap/>
            <w:textDirection w:val="lrTb"/>
            <w:vAlign w:val="center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Связь с показателями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8"/>
          <w:tblHeader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5" w:type="dxa"/>
            <w:noWrap/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11" w:type="dxa"/>
            <w:noWrap/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5" w:type="dxa"/>
            <w:noWrap/>
            <w:textDirection w:val="lrTb"/>
            <w:vAlign w:val="bottom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4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1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4691" w:type="dxa"/>
            <w:gridSpan w:val="3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  <w:lang w:eastAsia="zh-CN" w:bidi="ar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Комплекс процессных мероприятий  «Развитие сельскохозяйственного производства, рыбохозяйственного комплекса и деятельности по заготовке и переработке дикоросов»</w:t>
            </w:r>
            <w:r>
              <w:rPr>
                <w:color w:val="000000"/>
                <w:sz w:val="20"/>
                <w:szCs w:val="20"/>
                <w:lang w:eastAsia="zh-CN" w:bidi="ar"/>
              </w:rPr>
            </w:r>
          </w:p>
        </w:tc>
      </w:tr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5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Ответственный за реализацию: УПСХиРП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11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Срок реализации: 2025-2030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5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</w:r>
          </w:p>
        </w:tc>
      </w:tr>
      <w:tr>
        <w:trPr>
          <w:trHeight w:val="126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1.1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Содействие развитию сельскохозяйственного производства и расширению  рынка сельскохозяйственной продукции, сырья и продовольствия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1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Предоставлены субсидии  на поддержку животноводства в целях  возмещения затрат сельскохозяйственных товаропроизводителей в связи с производством и реализацией продукции животноводства собственного производства, возмещения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граждан.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Предоставлены субсидии  на   поддержку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рыбохозяйственного комплекса в целях возмещение затрат  в связи с реализацией искусственно выращенной пищевой рыбы  и пищевой рыбной продукции собственного производства.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Предоставлены субсидии на поддержку деятельности по заготовке и переработке дикоросов в целях возмещения затрат на реализацию продукции дикоросов собственной заготовки, реализацию продукции глубокой переработки дикоросов собственного производства, </w:t>
            </w:r>
          </w:p>
          <w:p>
            <w:pPr>
              <w:pStyle w:val="Normal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организацию презентаций продукции из дикоросов, участие в выставках, ярмарках, форумах.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</w:t>
            </w:r>
            <w:r>
              <w:rPr>
                <w:color w:val="000000"/>
                <w:sz w:val="20"/>
                <w:szCs w:val="20"/>
              </w:rPr>
              <w:t xml:space="preserve">редоставлены субсидии на поддержку растениеводства </w:t>
            </w:r>
            <w:r>
              <w:rPr>
                <w:sz w:val="20"/>
                <w:szCs w:val="20"/>
              </w:rPr>
              <w:t xml:space="preserve">в целях возмещения затрат в связи с реализацией </w:t>
            </w:r>
            <w:r>
              <w:rPr>
                <w:rFonts w:eastAsia="Times New Roman"/>
                <w:sz w:val="20"/>
                <w:szCs w:val="20"/>
              </w:rPr>
              <w:t xml:space="preserve">продукции растениеводства собственного производства: </w:t>
            </w:r>
            <w:r>
              <w:rPr>
                <w:sz w:val="20"/>
                <w:szCs w:val="20"/>
              </w:rPr>
              <w:t xml:space="preserve"> овощей защищенного грунта и овощей открытого грунта.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Производство молока.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Производство скота и птицы на убой (в живом весе).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Производство яиц.</w:t>
            </w:r>
          </w:p>
        </w:tc>
      </w:tr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2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691" w:type="dxa"/>
            <w:gridSpan w:val="3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«Финансовая поддержка сельскохозяйственных товаропроизводителей»</w:t>
            </w:r>
          </w:p>
        </w:tc>
      </w:tr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5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 w:bidi="ar"/>
              </w:rPr>
              <w:t xml:space="preserve">Ответственный за реализацию: </w:t>
            </w: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УПСХиРП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11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Срок реализации: 2025-2030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5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234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2.1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Содействие развитию сельскохозяйственного производства и расширению  рынка сельскохозяйственной продукции, сырья и продовольствия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1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предоставлены субсидии в целях возмещения  затрат в связи с производством, переработкой мяса оленей;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предоставлены субсидии в целях финансового обеспечения затрат в связи с производством сельскохозяйственной продукции и продукции первичной переработки, произведённой из сельскохозяйственного сырья собственного производства;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Производство молока.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Производство скота и птицы на убой (в живом весе).</w:t>
            </w:r>
          </w:p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Производство яиц.</w:t>
            </w:r>
          </w:p>
        </w:tc>
      </w:tr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691" w:type="dxa"/>
            <w:gridSpan w:val="3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«Создание условий для развития сельскохозяйственного производства»</w:t>
            </w:r>
          </w:p>
        </w:tc>
      </w:tr>
      <w:tr>
        <w:trPr>
          <w:trHeight w:val="30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5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Ответственный за реализацию:  </w:t>
            </w:r>
            <w:r>
              <w:rPr>
                <w:color w:val="000000"/>
                <w:sz w:val="24"/>
                <w:szCs w:val="24"/>
                <w:lang w:eastAsia="zh-CN" w:bidi="ar"/>
              </w:rPr>
              <w:t xml:space="preserve">УКС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6411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Срок реализации: 2025-2030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4965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14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3" w:type="dxa"/>
            <w:noWrap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ar"/>
              </w:rPr>
              <w:t xml:space="preserve">3.1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Содействие развитию сельскохозяйственного производства и расширению  рынка сельскохозяйственной продукции, сырья и продовольствия</w:t>
            </w:r>
          </w:p>
        </w:tc>
        <w:tc>
          <w:tcPr>
            <w:tcW w:w="6411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Строительство птицефермы в с.Казым Белоярского района</w:t>
            </w:r>
          </w:p>
        </w:tc>
        <w:tc>
          <w:tcPr>
            <w:tcW w:w="496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 птицефермы яичного направления</w:t>
            </w:r>
          </w:p>
        </w:tc>
      </w:tr>
    </w:tbl>
    <w:p>
      <w:pPr>
        <w:pStyle w:val="Normal"/>
        <w:spacing w:after="0" w:line="240" w:lineRule="auto"/>
        <w:jc w:val="center"/>
        <w:rPr>
          <w:rFonts w:eastAsia="Times New Roman"/>
          <w:sz w:val="20"/>
          <w:szCs w:val="20"/>
          <w:lang w:val="en-US" w:eastAsia="ru-RU"/>
        </w:rPr>
      </w:pPr>
      <w:r>
        <w:rPr>
          <w:rFonts w:eastAsia="Times New Roman"/>
          <w:sz w:val="20"/>
          <w:szCs w:val="20"/>
          <w:lang w:val="en-US"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 xml:space="preserve">4. Финансовое обеспечение муниципальной программы</w:t>
      </w:r>
      <w:r>
        <w:rPr>
          <w:rFonts w:eastAsia="Times New Roman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</w:p>
    <w:tbl>
      <w:tblPr>
        <w:tblW w:w="15082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826"/>
        <w:gridCol w:w="5376"/>
        <w:gridCol w:w="1200"/>
        <w:gridCol w:w="1128"/>
        <w:gridCol w:w="1140"/>
        <w:gridCol w:w="1163"/>
        <w:gridCol w:w="1273"/>
        <w:gridCol w:w="1284"/>
        <w:gridCol w:w="1692"/>
      </w:tblGrid>
      <w:tr>
        <w:trPr>
          <w:trHeight w:val="300"/>
          <w:tblHeader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N п/п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Наименование муниципальной программы, структурного элемента, мероприятия (результата), источник финансового обеспечения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888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Объем финансового обеспечения по годам, тыс. рублей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0"/>
          <w:tblHeader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2025 год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2026 год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2027 год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2028</w:t>
            </w:r>
            <w:r>
              <w:rPr>
                <w:color w:val="000000"/>
                <w:sz w:val="18"/>
                <w:szCs w:val="18"/>
                <w:lang w:eastAsia="zh-CN" w:bidi="ar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2029</w:t>
            </w:r>
            <w:r>
              <w:rPr>
                <w:color w:val="000000"/>
                <w:sz w:val="18"/>
                <w:szCs w:val="18"/>
                <w:lang w:eastAsia="zh-CN" w:bidi="ar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2030</w:t>
            </w:r>
            <w:r>
              <w:rPr>
                <w:color w:val="000000"/>
                <w:sz w:val="18"/>
                <w:szCs w:val="18"/>
                <w:lang w:eastAsia="zh-CN" w:bidi="ar"/>
              </w:rPr>
              <w:t xml:space="preserve"> год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Всего</w:t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131"/>
        </w:trPr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2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</w:t>
            </w:r>
          </w:p>
        </w:tc>
      </w:tr>
      <w:tr>
        <w:trPr>
          <w:trHeight w:val="415"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Муниципальная программа «</w:t>
            </w:r>
            <w:r>
              <w:rPr>
                <w:color w:val="000000"/>
                <w:sz w:val="18"/>
                <w:szCs w:val="18"/>
                <w:lang w:eastAsia="zh-CN"/>
              </w:rPr>
              <w:t xml:space="preserve">Развитие агропромышленного комплекса»</w:t>
            </w:r>
            <w:r>
              <w:rPr>
                <w:color w:val="000000"/>
                <w:sz w:val="18"/>
                <w:szCs w:val="18"/>
                <w:lang w:eastAsia="zh-CN" w:bidi="ar"/>
              </w:rPr>
              <w:t xml:space="preserve"> (всего), в том числе: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70 305,1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58 439,9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58 439,9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58 439,9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345 504,6</w:t>
            </w:r>
          </w:p>
        </w:tc>
      </w:tr>
      <w:tr>
        <w:trPr>
          <w:trHeight w:val="136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бюджет ХМАО-Югры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49 839,9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299 539,4</w:t>
            </w:r>
          </w:p>
        </w:tc>
      </w:tr>
      <w:tr>
        <w:trPr>
          <w:trHeight w:val="211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бюджет Белоярского района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20 465,2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45 965,2</w:t>
            </w:r>
          </w:p>
        </w:tc>
      </w:tr>
      <w:tr>
        <w:trPr>
          <w:trHeight w:val="143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Объем налоговых расходов Белоярского района (справочно)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</w:tr>
      <w:tr>
        <w:trPr>
          <w:trHeight w:val="487"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Комплекс процессных мероприятий «Развитие сельскохозяйственного производства, рыбохозяйственного комплекса и деятельности по заготовке и переработке дикоросов» (всего)  в том числе: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49 839,9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299 539,4</w:t>
            </w:r>
          </w:p>
        </w:tc>
      </w:tr>
      <w:tr>
        <w:trPr>
          <w:trHeight w:val="300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бюджет ХМАО-Югры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49 839,9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299 539,4</w:t>
            </w:r>
          </w:p>
        </w:tc>
      </w:tr>
      <w:tr>
        <w:trPr>
          <w:trHeight w:val="503"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1.1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результат  «Оказана   поддержка производства и реализации продукции животноводства, содержания маточного поголовья сельскохозяйственных животных»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49 839,9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49 939,99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299 539,4</w:t>
            </w:r>
          </w:p>
        </w:tc>
      </w:tr>
      <w:tr>
        <w:trPr>
          <w:trHeight w:val="89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бюджет ХМАО-Югры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49 839,9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49 939,9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299 539,4</w:t>
            </w:r>
          </w:p>
        </w:tc>
      </w:tr>
      <w:tr>
        <w:trPr>
          <w:trHeight w:val="426"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Комплекс процессных мероприятий «Финансовая поддержка сельскохозяйственных товаропроизводителей» (всего), в том числе: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34 000,0</w:t>
            </w:r>
          </w:p>
        </w:tc>
      </w:tr>
      <w:tr>
        <w:trPr>
          <w:trHeight w:val="81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бюджет Белоярского района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8 500,0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34 000,0</w:t>
            </w:r>
          </w:p>
        </w:tc>
      </w:tr>
      <w:tr>
        <w:trPr>
          <w:trHeight w:val="439"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2.1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результат   «Предоставлены субсидии в целях возмещения и (или) финансового обеспечения затрат в связи производством, переработкой мяса оленей»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2 000,0</w:t>
            </w:r>
          </w:p>
        </w:tc>
      </w:tr>
      <w:tr>
        <w:trPr>
          <w:trHeight w:val="107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бюджет Белоярского района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2 000,0</w:t>
            </w:r>
          </w:p>
        </w:tc>
      </w:tr>
      <w:tr>
        <w:trPr>
          <w:trHeight w:val="1031"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2.2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результат «Предоставлены субсидии в целях финансового обеспечения затрат в связи с производством сельскохозяйственной продукции и продукции первичной переработки, произведенной из сельскохозяйственного сырья собственного производства»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8 000,0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32 000,0</w:t>
            </w:r>
          </w:p>
        </w:tc>
      </w:tr>
      <w:tr>
        <w:trPr>
          <w:trHeight w:val="139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бюджет Белоярского района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8 000,0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8 000,0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32 000,0</w:t>
            </w:r>
          </w:p>
        </w:tc>
      </w:tr>
      <w:tr>
        <w:trPr>
          <w:trHeight w:val="354"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Комплекс процессных мероприятий «Создание условий для развития сельскохозяйственного производства»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11 965,2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11 965,2</w:t>
            </w:r>
          </w:p>
        </w:tc>
      </w:tr>
      <w:tr>
        <w:trPr>
          <w:trHeight w:val="91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бюджет Белоярского района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11 965,2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11 965,2</w:t>
            </w:r>
          </w:p>
        </w:tc>
      </w:tr>
      <w:tr>
        <w:trPr>
          <w:trHeight w:val="510"/>
        </w:trPr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3.1.</w:t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eastAsia="zh-CN" w:bidi="ar"/>
              </w:rPr>
              <w:t xml:space="preserve">результат  «Строительство  птицефермы в с.Казым Белоярского района»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11 965,2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11 965,2</w:t>
            </w:r>
          </w:p>
        </w:tc>
      </w:tr>
      <w:tr>
        <w:trPr>
          <w:trHeight w:val="131"/>
        </w:trPr>
        <w:tc>
          <w:tcPr>
            <w:tcW w:w="8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5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lrTb"/>
            <w:vAlign w:val="bottom"/>
          </w:tcPr>
          <w:p>
            <w:pPr>
              <w:pStyle w:val="Normal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бюджет Белоярского района</w:t>
            </w:r>
            <w:r>
              <w:rPr>
                <w:color w:val="000000"/>
                <w:sz w:val="18"/>
                <w:szCs w:val="18"/>
                <w:lang w:eastAsia="zh-CN" w:bidi="ar"/>
              </w:rPr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11 965,2</w:t>
            </w:r>
          </w:p>
        </w:tc>
        <w:tc>
          <w:tcPr>
            <w:tcW w:w="11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2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11 965,2</w:t>
            </w:r>
          </w:p>
        </w:tc>
      </w:tr>
    </w:tbl>
    <w:p>
      <w:pPr>
        <w:pStyle w:val="Normal"/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Normal"/>
        <w:pageBreakBefore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Приложение  к муниципальной программе</w:t>
      </w:r>
    </w:p>
    <w:p>
      <w:pPr>
        <w:pStyle w:val="Normal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Normal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</w:r>
    </w:p>
    <w:p>
      <w:pPr>
        <w:pStyle w:val="Normal"/>
        <w:spacing w:after="0" w:line="240" w:lineRule="auto"/>
        <w:jc w:val="center"/>
        <w:rPr>
          <w:b/>
        </w:rPr>
      </w:pPr>
      <w:r>
        <w:rPr>
          <w:b/>
        </w:rPr>
        <w:t xml:space="preserve">Перечень создаваемых (реконструируемых), приобретаемых объектов</w:t>
      </w:r>
    </w:p>
    <w:p>
      <w:pPr>
        <w:pStyle w:val="Normal"/>
        <w:spacing w:after="0" w:line="240" w:lineRule="auto"/>
        <w:jc w:val="center"/>
        <w:rPr>
          <w:b/>
        </w:rPr>
      </w:pPr>
      <w:r>
        <w:rPr>
          <w:b/>
        </w:rPr>
      </w:r>
    </w:p>
    <w:tbl>
      <w:tblPr>
        <w:tblW w:w="14805" w:type="dxa"/>
        <w:tblInd w:w="0" w:type="dxa"/>
        <w:shd w:val="clear" w:color="auto" w:fill="ffffff"/>
        <w:tblLayout w:type="autofit"/>
        <w:tblCellMar>
          <w:left w:w="0" w:type="dxa"/>
          <w:top w:w="0" w:type="dxa"/>
          <w:right w:w="0" w:type="dxa"/>
          <w:bottom w:w="0" w:type="dxa"/>
        </w:tblCellMar>
      </w:tblPr>
      <w:tblGrid>
        <w:gridCol w:w="481"/>
        <w:gridCol w:w="1846"/>
        <w:gridCol w:w="1545"/>
        <w:gridCol w:w="2126"/>
        <w:gridCol w:w="1846"/>
        <w:gridCol w:w="2277"/>
        <w:gridCol w:w="2407"/>
        <w:gridCol w:w="2277"/>
      </w:tblGrid>
      <w:tr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N</w:t>
            </w: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Наименование объекта</w:t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Мощность</w:t>
            </w:r>
            <w:r>
              <w:rPr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Срок строительства, проектирования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Механизм реализации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Капитальные вложения</w:t>
            </w: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Источник финансирования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color="000000" w:sz="8" w:space="0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eastAsia="zh-CN" w:bidi="ar"/>
              </w:rPr>
              <w:t xml:space="preserve">Планируемый объем инвестиций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eastAsia="zh-CN" w:bidi="ar"/>
              </w:rPr>
              <w:t xml:space="preserve">(тыс.руб.)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0"/>
        </w:trPr>
        <w:tc>
          <w:tcPr>
            <w:tcW w:w="480" w:type="dxa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12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41"/>
        </w:trPr>
        <w:tc>
          <w:tcPr>
            <w:tcW w:w="480" w:type="dxa"/>
            <w:vMerge w:val="restart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vMerge w:val="restart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eastAsia="zh-CN" w:bidi="ar"/>
              </w:rPr>
              <w:t xml:space="preserve">Строительство птицефермы в с.Казым Белоярского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1540" w:type="dxa"/>
            <w:vMerge w:val="restart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eastAsia="zh-CN" w:bidi="ar"/>
              </w:rPr>
              <w:t xml:space="preserve">поголовье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eastAsia="zh-CN" w:bidi="ar"/>
              </w:rPr>
              <w:t xml:space="preserve">кур-несушек промышленного стада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eastAsia="zh-CN" w:bidi="ar"/>
              </w:rPr>
              <w:t xml:space="preserve">10,5 тыс.голов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 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 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 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2120" w:type="dxa"/>
            <w:vMerge w:val="restart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2025-2026 </w:t>
              <w:br w:type="textWrapping" w:clear="all"/>
              <w:t xml:space="preserve">(ПИР 2025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СМР 2025-2026)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840" w:type="dxa"/>
            <w:vMerge w:val="restart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vMerge w:val="restart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vMerge w:val="restart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определяется проектированием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21"/>
        </w:trPr>
        <w:tc>
          <w:tcPr>
            <w:tcW w:w="480" w:type="dxa"/>
            <w:vMerge w:val="continue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5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12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27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</w:tr>
      <w:tr>
        <w:trPr>
          <w:trHeight w:val="369"/>
        </w:trPr>
        <w:tc>
          <w:tcPr>
            <w:tcW w:w="480" w:type="dxa"/>
            <w:vMerge w:val="continue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5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12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27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бюджет автономного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</w:tr>
      <w:tr>
        <w:trPr>
          <w:trHeight w:val="407"/>
        </w:trPr>
        <w:tc>
          <w:tcPr>
            <w:tcW w:w="480" w:type="dxa"/>
            <w:vMerge w:val="continue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5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12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27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бюджет Белоярского района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W w:w="480" w:type="dxa"/>
            <w:vMerge w:val="continue"/>
            <w:tcBorders>
              <w:top w:val="none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5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12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184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27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Segoe UI"/>
                <w:sz w:val="20"/>
                <w:szCs w:val="20"/>
                <w:lang w:val="en-US" w:eastAsia="zh-CN" w:bidi="ar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vMerge w:val="continue"/>
            <w:tcBorders>
              <w:top w:val="none"/>
              <w:left w:val="none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60" w:type="dxa"/>
              <w:top w:w="100" w:type="dxa"/>
              <w:right w:w="60" w:type="dxa"/>
              <w:bottom w:w="100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Segoe UI" w:hAnsi="Segoe UI" w:eastAsia="Segoe UI" w:cs="Segoe UI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  <w:shd w:val="clear" w:color="auto" w:fill="ffffff"/>
          <w:lang w:val="en-US" w:eastAsia="zh-CN" w:bidi="ar"/>
        </w:rPr>
        <w:t xml:space="preserve"> </w:t>
      </w:r>
      <w:r>
        <w:rPr>
          <w:color w:val="000000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_______________________________</w:t>
      </w:r>
    </w:p>
    <w:sectPr>
      <w:type w:val="nextPage"/>
      <w:pgSz w:w="16838" w:h="11906" w:orient="landscape"/>
      <w:pgMar w:top="1056" w:right="720" w:bottom="720" w:left="720" w:header="708" w:footer="708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SimSun">
    <w:panose1 w:val="02010600030101010101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suff w:val="space"/>
      <w:lvlText w:val="%1.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ExpandShiftReturn w:val="true"/>
    <w:doNotWrapTextWithPunct w:val="true"/>
    <w:doNotUseEastAsianBreakRules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SimSu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keepLines/>
      <w:spacing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paragraph" w:styleId="Heading2">
    <w:name w:val="Заголовок 2"/>
    <w:basedOn w:val="Normal"/>
    <w:next w:val="Normal"/>
    <w:link w:val="UserStyle_1"/>
    <w:uiPriority w:val="9"/>
    <w:qFormat/>
    <w:pPr>
      <w:keepNext/>
      <w:keepLines/>
      <w:spacing w:before="40" w:after="0"/>
      <w:outlineLvl w:val="1"/>
    </w:pPr>
    <w:rPr>
      <w:rFonts w:ascii="Cambria" w:hAnsi="Cambria" w:eastAsia="Times New Roman" w:cs="Times New Roman"/>
      <w:color w:val="365f91"/>
      <w:sz w:val="26"/>
      <w:szCs w:val="26"/>
    </w:rPr>
  </w:style>
  <w:style w:type="paragraph" w:styleId="Heading3">
    <w:name w:val="Заголовок 3"/>
    <w:basedOn w:val="Normal"/>
    <w:next w:val="Normal"/>
    <w:link w:val="UserStyle_2"/>
    <w:uiPriority w:val="9"/>
    <w:qFormat/>
    <w:pPr>
      <w:keepNext/>
      <w:keepLines/>
      <w:spacing w:before="40" w:after="0"/>
      <w:outlineLvl w:val="2"/>
    </w:pPr>
    <w:rPr>
      <w:rFonts w:ascii="Cambria" w:hAnsi="Cambria" w:eastAsia="Times New Roman" w:cs="Times New Roman"/>
      <w:color w:val="243f60"/>
      <w:sz w:val="24"/>
      <w:szCs w:val="24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 w:eastAsia="Times New Roman" w:cs="Times New Roman"/>
      <w:color w:val="365f91"/>
      <w:sz w:val="32"/>
      <w:szCs w:val="32"/>
    </w:rPr>
  </w:style>
  <w:style w:type="character" w:styleId="UserStyle_1">
    <w:name w:val="Заголовок 2 Знак"/>
    <w:next w:val="UserStyle_1"/>
    <w:link w:val="Heading2"/>
    <w:uiPriority w:val="9"/>
    <w:rPr>
      <w:rFonts w:ascii="Cambria" w:hAnsi="Cambria" w:eastAsia="Times New Roman" w:cs="Times New Roman"/>
      <w:color w:val="365f91"/>
      <w:sz w:val="26"/>
      <w:szCs w:val="26"/>
    </w:rPr>
  </w:style>
  <w:style w:type="character" w:styleId="UserStyle_2">
    <w:name w:val="Заголовок 3 Знак"/>
    <w:next w:val="UserStyle_2"/>
    <w:link w:val="Heading3"/>
    <w:uiPriority w:val="9"/>
    <w:rPr>
      <w:rFonts w:ascii="Cambria" w:hAnsi="Cambria" w:eastAsia="Times New Roman" w:cs="Times New Roman"/>
      <w:color w:val="243f60"/>
      <w:sz w:val="24"/>
      <w:szCs w:val="24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3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uiPriority w:val="99"/>
    <w:semiHidden/>
    <w:rPr>
      <w:rFonts w:ascii="Tahoma" w:hAnsi="Tahoma" w:cs="Tahoma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4"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character" w:styleId="UserStyle_4">
    <w:name w:val="Основной текст с отступом 3 Знак"/>
    <w:next w:val="UserStyle_4"/>
    <w:link w:val="BodyTextIndent3"/>
    <w:rPr>
      <w:rFonts w:eastAsia="Times New Roman"/>
      <w:sz w:val="24"/>
    </w:rPr>
  </w:style>
  <w:style w:type="paragraph" w:styleId="AnnotationText">
    <w:name w:val="Текст примечания"/>
    <w:basedOn w:val="Normal"/>
    <w:next w:val="AnnotationText"/>
    <w:link w:val="UserStyle_5"/>
    <w:uiPriority w:val="99"/>
    <w:unhideWhenUsed/>
    <w:pPr>
      <w:spacing w:line="240" w:lineRule="auto"/>
    </w:pPr>
    <w:rPr>
      <w:sz w:val="20"/>
      <w:szCs w:val="20"/>
    </w:rPr>
  </w:style>
  <w:style w:type="character" w:styleId="UserStyle_5">
    <w:name w:val="Текст примечания Знак"/>
    <w:next w:val="UserStyle_5"/>
    <w:link w:val="AnnotationText"/>
    <w:uiPriority w:val="99"/>
    <w:semiHidden/>
    <w:rPr>
      <w:sz w:val="20"/>
      <w:szCs w:val="20"/>
    </w:rPr>
  </w:style>
  <w:style w:type="paragraph" w:styleId="AnnotationSubject">
    <w:name w:val="Тема примечания"/>
    <w:basedOn w:val="AnnotationText"/>
    <w:next w:val="AnnotationText"/>
    <w:link w:val="UserStyle_6"/>
    <w:uiPriority w:val="99"/>
    <w:unhideWhenUsed/>
    <w:rPr>
      <w:b/>
      <w:bCs/>
    </w:rPr>
  </w:style>
  <w:style w:type="character" w:styleId="UserStyle_6">
    <w:name w:val="Тема примечания Знак"/>
    <w:next w:val="UserStyle_6"/>
    <w:link w:val="AnnotationSubject"/>
    <w:uiPriority w:val="99"/>
    <w:semiHidden/>
    <w:rPr>
      <w:b/>
      <w:bCs/>
      <w:sz w:val="20"/>
      <w:szCs w:val="20"/>
    </w:rPr>
  </w:style>
  <w:style w:type="paragraph" w:styleId="Header">
    <w:name w:val="Верхний колонтитул"/>
    <w:basedOn w:val="Normal"/>
    <w:next w:val="Header"/>
    <w:link w:val="UserStyle_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7">
    <w:name w:val="Верхний колонтитул Знак"/>
    <w:next w:val="UserStyle_7"/>
    <w:link w:val="Header"/>
    <w:uiPriority w:val="99"/>
    <w:rPr>
      <w:sz w:val="22"/>
      <w:szCs w:val="22"/>
      <w:lang w:eastAsia="en-US"/>
    </w:rPr>
  </w:style>
  <w:style w:type="paragraph" w:styleId="Footer">
    <w:name w:val="Нижний колонтитул"/>
    <w:basedOn w:val="Normal"/>
    <w:next w:val="Footer"/>
    <w:link w:val="UserStyle_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UserStyle_8">
    <w:name w:val="Нижний колонтитул Знак"/>
    <w:next w:val="UserStyle_8"/>
    <w:link w:val="Footer"/>
    <w:uiPriority w:val="99"/>
    <w:rPr>
      <w:sz w:val="22"/>
      <w:szCs w:val="22"/>
      <w:lang w:eastAsia="en-US"/>
    </w:rPr>
  </w:style>
  <w:style w:type="paragraph" w:styleId="HtmlNormal">
    <w:name w:val="Обычный (веб)"/>
    <w:basedOn w:val="Normal"/>
    <w:next w:val="HtmlNormal"/>
    <w:link w:val="Normal"/>
    <w:unhideWhenUsed/>
    <w:qFormat/>
    <w:pPr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table" w:styleId="TableGrid">
    <w:name w:val="Сетка таблицы"/>
    <w:basedOn w:val="TableNormal"/>
    <w:next w:val="TableGrid"/>
    <w:link w:val="Normal"/>
    <w:uiPriority w:val="59"/>
    <w:pPr>
      <w:widowControl w:val="off"/>
      <w:jc w:val="both"/>
    </w:p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">
    <w:name w:val="Без интервала"/>
    <w:next w:val="User"/>
    <w:link w:val="Normal"/>
    <w:uiPriority w:val="1"/>
    <w:qFormat/>
    <w:rPr>
      <w:sz w:val="22"/>
      <w:szCs w:val="22"/>
      <w:lang w:val="ru-RU" w:eastAsia="en-US" w:bidi="ar-SA"/>
    </w:rPr>
  </w:style>
  <w:style w:type="paragraph" w:styleId="UserStyle_9">
    <w:name w:val="ConsPlusNormal"/>
    <w:next w:val="UserStyle_9"/>
    <w:link w:val="UserStyle_10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UserStyle_10">
    <w:name w:val="ConsPlusNormal Знак"/>
    <w:next w:val="UserStyle_10"/>
    <w:link w:val="UserStyle_9"/>
    <w:locked/>
    <w:rPr>
      <w:rFonts w:ascii="Arial" w:hAnsi="Arial" w:eastAsia="Times New Roman" w:cs="Arial"/>
    </w:rPr>
  </w:style>
  <w:style w:type="paragraph" w:styleId="UserStyle_11">
    <w:name w:val="ConsPlusTitle"/>
    <w:next w:val="UserStyle_11"/>
    <w:link w:val="Normal"/>
    <w:pPr>
      <w:widowControl w:val="off"/>
    </w:pPr>
    <w:rPr>
      <w:rFonts w:ascii="Arial" w:hAnsi="Arial" w:eastAsia="Times New Roman" w:cs="Arial"/>
      <w:b/>
      <w:lang w:val="ru-RU" w:eastAsia="ru-RU" w:bidi="ar-SA"/>
    </w:rPr>
  </w:style>
  <w:style w:type="paragraph" w:styleId="178">
    <w:name w:val="Рецензия"/>
    <w:next w:val="178"/>
    <w:link w:val="Normal"/>
    <w:uiPriority w:val="99"/>
    <w:semiHidden/>
    <w:rPr>
      <w:sz w:val="22"/>
      <w:szCs w:val="22"/>
      <w:lang w:val="ru-RU" w:eastAsia="en-US" w:bidi="ar-SA"/>
    </w:rPr>
  </w:style>
  <w:style w:type="character" w:styleId="UserStyle_12">
    <w:name w:val="font41"/>
    <w:next w:val="UserStyle_12"/>
    <w:link w:val="Normal"/>
    <w:rPr>
      <w:rFonts w:ascii="Times New Roman" w:hAnsi="Times New Roman" w:cs="Times New Roman"/>
      <w:i w:val="0"/>
      <w:iCs w:val="0"/>
      <w:color w:val="000000"/>
      <w:u w:val="none"/>
    </w:rPr>
  </w:style>
  <w:style w:type="character" w:styleId="UserStyle_13">
    <w:name w:val="font01"/>
    <w:next w:val="UserStyle_13"/>
    <w:link w:val="Normal"/>
    <w:rPr>
      <w:rFonts w:ascii="Times New Roman" w:hAnsi="Times New Roman" w:cs="Times New Roman"/>
      <w:i w:val="0"/>
      <w:iCs w:val="0"/>
      <w:color w:val="000000"/>
      <w:u w:val="none"/>
    </w:rPr>
  </w:style>
  <w:style w:type="character" w:styleId="UserStyle_14">
    <w:name w:val="font21"/>
    <w:next w:val="UserStyle_14"/>
    <w:link w:val="Normal"/>
    <w:rPr>
      <w:rFonts w:ascii="Times New Roman" w:hAnsi="Times New Roman" w:cs="Times New Roman"/>
      <w:b/>
      <w:bCs/>
      <w:i w:val="0"/>
      <w:iCs w:val="0"/>
      <w:color w:val="000000"/>
      <w:u w:val="none"/>
    </w:rPr>
  </w:style>
  <w:style w:type="character" w:styleId="UserStyle_15">
    <w:name w:val="font31"/>
    <w:next w:val="UserStyle_15"/>
    <w:link w:val="Normal"/>
    <w:rPr>
      <w:rFonts w:ascii="Times New Roman" w:hAnsi="Times New Roman" w:cs="Times New Roman"/>
      <w:i w:val="0"/>
      <w:iCs w:val="0"/>
      <w:color w:val="000000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8986</Characters>
  <CharactersWithSpaces>10541</CharactersWithSpaces>
  <Company>*</Company>
  <DocSecurity>0</DocSecurity>
  <HyperlinksChanged>false</HyperlinksChanged>
  <Lines>74</Lines>
  <Pages>10</Pages>
  <Paragraphs>21</Paragraphs>
  <ScaleCrop>false</ScaleCrop>
  <SharedDoc>false</SharedDoc>
  <Template>Normal</Template>
  <Words>1576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StrukovskayaLU</cp:lastModifiedBy>
  <cp:revision>3</cp:revision>
  <dcterms:created xsi:type="dcterms:W3CDTF">2024-12-06T06:23:00Z</dcterms:created>
  <dcterms:modified xsi:type="dcterms:W3CDTF">2025-02-11T07:44:00Z</dcterms:modified>
  <cp:version>1048576</cp:version>
</cp:coreProperties>
</file>