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5C" w:rsidRDefault="00D478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0" distR="0">
            <wp:extent cx="628015" cy="882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5C" w:rsidRDefault="0016485C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D478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16485C" w:rsidRDefault="0016485C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  <w:t>проект</w:t>
      </w: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16485C">
        <w:tc>
          <w:tcPr>
            <w:tcW w:w="4820" w:type="dxa"/>
          </w:tcPr>
          <w:p w:rsidR="0016485C" w:rsidRDefault="00D47871">
            <w:pPr>
              <w:pStyle w:val="1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от           2023 года</w:t>
            </w:r>
          </w:p>
        </w:tc>
        <w:tc>
          <w:tcPr>
            <w:tcW w:w="5953" w:type="dxa"/>
          </w:tcPr>
          <w:p w:rsidR="0016485C" w:rsidRDefault="00D47871">
            <w:pPr>
              <w:pStyle w:val="1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</w:t>
            </w:r>
          </w:p>
          <w:p w:rsidR="0016485C" w:rsidRDefault="0016485C">
            <w:pPr>
              <w:pStyle w:val="1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16485C" w:rsidRDefault="0016485C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16485C" w:rsidRDefault="00D47871">
      <w:pPr>
        <w:pStyle w:val="ConsPlusTitle"/>
        <w:jc w:val="center"/>
      </w:pPr>
      <w:r>
        <w:t>О внесении изменени</w:t>
      </w:r>
      <w:r w:rsidR="008E466C">
        <w:t>я</w:t>
      </w:r>
      <w:r>
        <w:t xml:space="preserve"> в приложение к решению Думы Белоярского района от                 4 октября 2021 года № 49</w:t>
      </w:r>
    </w:p>
    <w:p w:rsidR="0016485C" w:rsidRDefault="0016485C">
      <w:pPr>
        <w:pStyle w:val="ConsTitle"/>
        <w:widowControl/>
        <w:snapToGri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6485C" w:rsidRDefault="00D4787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статьёй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</w:t>
      </w:r>
      <w:r w:rsidR="008E466C">
        <w:rPr>
          <w:rFonts w:ascii="Times New Roman" w:hAnsi="Times New Roman"/>
          <w:sz w:val="24"/>
          <w:szCs w:val="24"/>
        </w:rPr>
        <w:t>ции», от 31 июля 2020 года</w:t>
      </w:r>
      <w:r>
        <w:rPr>
          <w:rFonts w:ascii="Times New Roman" w:hAnsi="Times New Roman"/>
          <w:sz w:val="24"/>
          <w:szCs w:val="24"/>
        </w:rPr>
        <w:t xml:space="preserve"> № 248-ФЗ </w:t>
      </w:r>
      <w:r w:rsidR="008E466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руководствуясь </w:t>
      </w:r>
      <w:hyperlink r:id="rId8" w:history="1">
        <w:r>
          <w:rPr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Белоярского района, </w:t>
      </w:r>
      <w:r>
        <w:rPr>
          <w:rFonts w:ascii="Times New Roman" w:hAnsi="Times New Roman"/>
          <w:bCs/>
          <w:sz w:val="24"/>
          <w:szCs w:val="24"/>
        </w:rPr>
        <w:t xml:space="preserve">Дума Белоярского района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E466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>р е ш и л а:</w:t>
      </w:r>
    </w:p>
    <w:p w:rsidR="0016485C" w:rsidRDefault="00D47871">
      <w:pPr>
        <w:pStyle w:val="ConsPlusNormal"/>
        <w:widowControl w:val="0"/>
        <w:numPr>
          <w:ilvl w:val="0"/>
          <w:numId w:val="1"/>
        </w:numPr>
        <w:autoSpaceDN/>
        <w:adjustRightInd/>
        <w:snapToGri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hyperlink r:id="rId9" w:history="1">
        <w:r>
          <w:rPr>
            <w:sz w:val="24"/>
            <w:szCs w:val="24"/>
          </w:rPr>
          <w:t>приложение</w:t>
        </w:r>
      </w:hyperlink>
      <w:r>
        <w:rPr>
          <w:sz w:val="24"/>
          <w:szCs w:val="24"/>
        </w:rPr>
        <w:t xml:space="preserve"> «Положение о муниципальном земельном контроле на территории Белоярского района» к решению Думы Белоярского района от 4 октября 2021 года № 49 «Об утверждении Положения о муниципальном земельном контроле на территории Белоярского района» изменени</w:t>
      </w:r>
      <w:r w:rsidR="004B38C1">
        <w:rPr>
          <w:sz w:val="24"/>
          <w:szCs w:val="24"/>
        </w:rPr>
        <w:t xml:space="preserve">е, </w:t>
      </w:r>
      <w:r w:rsidR="008E466C">
        <w:rPr>
          <w:sz w:val="24"/>
          <w:szCs w:val="24"/>
        </w:rPr>
        <w:t>дополнив</w:t>
      </w:r>
      <w:r w:rsidR="004B38C1">
        <w:rPr>
          <w:sz w:val="24"/>
          <w:szCs w:val="24"/>
        </w:rPr>
        <w:t xml:space="preserve"> пункт 31 </w:t>
      </w:r>
      <w:r w:rsidR="008E466C">
        <w:rPr>
          <w:sz w:val="24"/>
          <w:szCs w:val="24"/>
        </w:rPr>
        <w:t xml:space="preserve">абзацем пятым </w:t>
      </w:r>
      <w:r w:rsidR="004B38C1">
        <w:rPr>
          <w:sz w:val="24"/>
          <w:szCs w:val="24"/>
        </w:rPr>
        <w:t>следующе</w:t>
      </w:r>
      <w:r w:rsidR="008E466C">
        <w:rPr>
          <w:sz w:val="24"/>
          <w:szCs w:val="24"/>
        </w:rPr>
        <w:t>го</w:t>
      </w:r>
      <w:r w:rsidR="004B38C1">
        <w:rPr>
          <w:sz w:val="24"/>
          <w:szCs w:val="24"/>
        </w:rPr>
        <w:t xml:space="preserve"> </w:t>
      </w:r>
      <w:r w:rsidR="008E466C">
        <w:rPr>
          <w:sz w:val="24"/>
          <w:szCs w:val="24"/>
        </w:rPr>
        <w:t>содержания</w:t>
      </w:r>
      <w:r>
        <w:rPr>
          <w:sz w:val="24"/>
          <w:szCs w:val="24"/>
        </w:rPr>
        <w:t>:</w:t>
      </w:r>
    </w:p>
    <w:p w:rsidR="0016485C" w:rsidRDefault="004B38C1" w:rsidP="00F409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787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-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</w:t>
      </w:r>
      <w:r w:rsidR="00F4097F">
        <w:rPr>
          <w:rFonts w:ascii="Times New Roman" w:hAnsi="Times New Roman"/>
          <w:sz w:val="24"/>
          <w:szCs w:val="24"/>
          <w:lang w:eastAsia="ru-RU"/>
        </w:rPr>
        <w:t>.».</w:t>
      </w:r>
    </w:p>
    <w:p w:rsidR="0016485C" w:rsidRDefault="00D47871">
      <w:pPr>
        <w:pStyle w:val="ConsPlusNormal"/>
        <w:widowControl w:val="0"/>
        <w:numPr>
          <w:ilvl w:val="0"/>
          <w:numId w:val="3"/>
        </w:numPr>
        <w:autoSpaceDN/>
        <w:adjustRightInd/>
        <w:snapToGrid w:val="0"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  <w:bookmarkStart w:id="0" w:name="_GoBack"/>
      <w:bookmarkEnd w:id="0"/>
    </w:p>
    <w:p w:rsidR="0016485C" w:rsidRDefault="00D47871">
      <w:pPr>
        <w:pStyle w:val="ConsPlusNormal"/>
        <w:widowControl w:val="0"/>
        <w:numPr>
          <w:ilvl w:val="255"/>
          <w:numId w:val="0"/>
        </w:numPr>
        <w:autoSpaceDN/>
        <w:adjustRightInd/>
        <w:snapToGri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16485C" w:rsidRDefault="0016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5C" w:rsidRDefault="0016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5C" w:rsidRDefault="0016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5C" w:rsidRDefault="00D4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  А.Г. Берестов</w:t>
      </w:r>
    </w:p>
    <w:p w:rsidR="0016485C" w:rsidRDefault="00164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85C" w:rsidRDefault="00164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85C" w:rsidRDefault="00D478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С.П. Маненков</w:t>
      </w:r>
    </w:p>
    <w:sectPr w:rsidR="0016485C">
      <w:pgSz w:w="11906" w:h="16838"/>
      <w:pgMar w:top="709" w:right="850" w:bottom="709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5C" w:rsidRDefault="00D47871">
      <w:pPr>
        <w:spacing w:line="240" w:lineRule="auto"/>
      </w:pPr>
      <w:r>
        <w:separator/>
      </w:r>
    </w:p>
  </w:endnote>
  <w:endnote w:type="continuationSeparator" w:id="0">
    <w:p w:rsidR="0016485C" w:rsidRDefault="00D47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5C" w:rsidRDefault="00D47871">
      <w:pPr>
        <w:spacing w:after="0"/>
      </w:pPr>
      <w:r>
        <w:separator/>
      </w:r>
    </w:p>
  </w:footnote>
  <w:footnote w:type="continuationSeparator" w:id="0">
    <w:p w:rsidR="0016485C" w:rsidRDefault="00D478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F4"/>
    <w:rsid w:val="000143A1"/>
    <w:rsid w:val="00020580"/>
    <w:rsid w:val="00053F6F"/>
    <w:rsid w:val="00056EEC"/>
    <w:rsid w:val="00061219"/>
    <w:rsid w:val="000639A4"/>
    <w:rsid w:val="00064771"/>
    <w:rsid w:val="00067031"/>
    <w:rsid w:val="00070ACD"/>
    <w:rsid w:val="00071395"/>
    <w:rsid w:val="000734A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6485C"/>
    <w:rsid w:val="00172A27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76E4"/>
    <w:rsid w:val="002077D6"/>
    <w:rsid w:val="00211568"/>
    <w:rsid w:val="0021244B"/>
    <w:rsid w:val="00213AED"/>
    <w:rsid w:val="0021518C"/>
    <w:rsid w:val="00217007"/>
    <w:rsid w:val="002269D0"/>
    <w:rsid w:val="00232738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F1036"/>
    <w:rsid w:val="002F1F62"/>
    <w:rsid w:val="002F3B52"/>
    <w:rsid w:val="002F62F7"/>
    <w:rsid w:val="002F7597"/>
    <w:rsid w:val="00313983"/>
    <w:rsid w:val="00314DF0"/>
    <w:rsid w:val="00320A7A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57DC0"/>
    <w:rsid w:val="0046076D"/>
    <w:rsid w:val="00463A1B"/>
    <w:rsid w:val="00467D0F"/>
    <w:rsid w:val="004716D3"/>
    <w:rsid w:val="00472733"/>
    <w:rsid w:val="00473D9D"/>
    <w:rsid w:val="004866F0"/>
    <w:rsid w:val="004908E4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B38C1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5E146C"/>
    <w:rsid w:val="005F1F15"/>
    <w:rsid w:val="005F2C53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A7DB4"/>
    <w:rsid w:val="006B1FA3"/>
    <w:rsid w:val="006B4226"/>
    <w:rsid w:val="006B49B9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9AF"/>
    <w:rsid w:val="007646C3"/>
    <w:rsid w:val="00777984"/>
    <w:rsid w:val="00782F5B"/>
    <w:rsid w:val="0079386E"/>
    <w:rsid w:val="007A1EE1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4A13"/>
    <w:rsid w:val="007F5A62"/>
    <w:rsid w:val="007F711E"/>
    <w:rsid w:val="00804A2F"/>
    <w:rsid w:val="0080620D"/>
    <w:rsid w:val="00811920"/>
    <w:rsid w:val="00811AB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D0223"/>
    <w:rsid w:val="008D0288"/>
    <w:rsid w:val="008E322A"/>
    <w:rsid w:val="008E466C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83E8D"/>
    <w:rsid w:val="00997F3B"/>
    <w:rsid w:val="009A6DDC"/>
    <w:rsid w:val="009A77ED"/>
    <w:rsid w:val="009B01E7"/>
    <w:rsid w:val="009B1662"/>
    <w:rsid w:val="009C15B1"/>
    <w:rsid w:val="009C1E70"/>
    <w:rsid w:val="009C3438"/>
    <w:rsid w:val="009C4763"/>
    <w:rsid w:val="009D3357"/>
    <w:rsid w:val="009D372B"/>
    <w:rsid w:val="009F0197"/>
    <w:rsid w:val="009F40B0"/>
    <w:rsid w:val="00A06AC1"/>
    <w:rsid w:val="00A11AE5"/>
    <w:rsid w:val="00A20529"/>
    <w:rsid w:val="00A304BE"/>
    <w:rsid w:val="00A31A4A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689D"/>
    <w:rsid w:val="00B312D8"/>
    <w:rsid w:val="00B374A1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2BCE"/>
    <w:rsid w:val="00BC775B"/>
    <w:rsid w:val="00BD2A04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4F71"/>
    <w:rsid w:val="00D35BD7"/>
    <w:rsid w:val="00D47871"/>
    <w:rsid w:val="00D532D5"/>
    <w:rsid w:val="00D53873"/>
    <w:rsid w:val="00D56959"/>
    <w:rsid w:val="00D649B7"/>
    <w:rsid w:val="00D82234"/>
    <w:rsid w:val="00D879A3"/>
    <w:rsid w:val="00D90189"/>
    <w:rsid w:val="00D912BD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6C15"/>
    <w:rsid w:val="00E5759D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EF6873"/>
    <w:rsid w:val="00F0424C"/>
    <w:rsid w:val="00F04AF9"/>
    <w:rsid w:val="00F05997"/>
    <w:rsid w:val="00F05BC1"/>
    <w:rsid w:val="00F072A5"/>
    <w:rsid w:val="00F101B6"/>
    <w:rsid w:val="00F175EB"/>
    <w:rsid w:val="00F216C1"/>
    <w:rsid w:val="00F34F81"/>
    <w:rsid w:val="00F351BA"/>
    <w:rsid w:val="00F37507"/>
    <w:rsid w:val="00F4097F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B1318"/>
    <w:rsid w:val="00FB1B3C"/>
    <w:rsid w:val="00FC0E30"/>
    <w:rsid w:val="00FC41D8"/>
    <w:rsid w:val="00FC42CF"/>
    <w:rsid w:val="00FC4627"/>
    <w:rsid w:val="00FD2A9A"/>
    <w:rsid w:val="00FD6A91"/>
    <w:rsid w:val="00FE5877"/>
    <w:rsid w:val="121912E3"/>
    <w:rsid w:val="1432158C"/>
    <w:rsid w:val="26032BA2"/>
    <w:rsid w:val="28DB408C"/>
    <w:rsid w:val="37252721"/>
    <w:rsid w:val="421D3436"/>
    <w:rsid w:val="42580136"/>
    <w:rsid w:val="474E7A07"/>
    <w:rsid w:val="4D1C5623"/>
    <w:rsid w:val="50634DFF"/>
    <w:rsid w:val="5A665885"/>
    <w:rsid w:val="62357352"/>
    <w:rsid w:val="6CD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06C187-B216-433C-888D-7F1E2BD0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5700.100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7EC5BC0FA5AD131F33D7E17BB325112E4053AAC70A08D8EFF59273413B6EB7283CB41CA78D969ADC5C3DD60A19CD22F06738B5D0CCC048D31C72BAP2n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1780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Анастасия Михайловна</cp:lastModifiedBy>
  <cp:revision>3</cp:revision>
  <cp:lastPrinted>2023-10-23T09:27:00Z</cp:lastPrinted>
  <dcterms:created xsi:type="dcterms:W3CDTF">2023-10-13T10:04:00Z</dcterms:created>
  <dcterms:modified xsi:type="dcterms:W3CDTF">2023-10-23T09:27:00Z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98E83EF8FCAB44DFA8834C4AED083A3F</vt:lpwstr>
  </property>
</Properties>
</file>