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harts/chart4.xml" ContentType="application/vnd.openxmlformats-officedocument.drawingml.chart+xml"/>
  <Override PartName="/word/charts/chart3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1.xml" ContentType="application/vnd.openxmlformats-officedocument.drawingml.chart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charts/chart5.xml" ContentType="application/vnd.openxmlformats-officedocument.drawingml.chart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charts/chart6.xml" ContentType="application/vnd.openxmlformats-officedocument.drawingml.chart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недропользования и природных ресурсов </w:t>
      </w: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Ханты-Мансийского автономного округа - Югры</w:t>
      </w:r>
      <w:r>
        <w:rPr>
          <w:sz w:val="28"/>
          <w:szCs w:val="28"/>
        </w:rPr>
      </w:r>
      <w:r/>
    </w:p>
    <w:p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0"/>
        <w:jc w:val="center"/>
        <w:rPr>
          <w:sz w:val="28"/>
          <w:szCs w:val="28"/>
        </w:rPr>
        <w:suppressLineNumbers w:val="0"/>
      </w:pPr>
      <w:r>
        <w:rPr>
          <w:b/>
          <w:sz w:val="28"/>
          <w:szCs w:val="28"/>
        </w:rPr>
        <w:t xml:space="preserve">ПРОЕКТ</w:t>
      </w:r>
      <w:r>
        <w:rPr>
          <w:sz w:val="28"/>
          <w:szCs w:val="28"/>
        </w:rPr>
      </w:r>
      <w:r/>
    </w:p>
    <w:p>
      <w:pPr>
        <w:ind w:firstLine="0"/>
        <w:jc w:val="center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0"/>
        <w:jc w:val="center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0"/>
        <w:jc w:val="center"/>
        <w:rPr>
          <w:sz w:val="28"/>
          <w:szCs w:val="28"/>
        </w:rPr>
        <w:suppressLineNumbers w:val="0"/>
      </w:pPr>
      <w:r>
        <w:rPr>
          <w:b/>
          <w:sz w:val="28"/>
          <w:szCs w:val="28"/>
        </w:rPr>
        <w:t xml:space="preserve">МАТЕРИАЛЫ, ОБОСНОВЫВАЮЩИЕ ЛИМИТЫ ДОБЫЧИ ОХОТНИЧЬИХ РЕСУРСОВ С 1 АВГУСТА 202</w:t>
      </w:r>
      <w:r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 xml:space="preserve">ГОДА </w:t>
      </w:r>
      <w:r>
        <w:rPr>
          <w:b/>
          <w:sz w:val="28"/>
          <w:szCs w:val="28"/>
        </w:rPr>
        <w:t xml:space="preserve">Д</w:t>
      </w:r>
      <w:r>
        <w:rPr>
          <w:b/>
          <w:sz w:val="28"/>
          <w:szCs w:val="28"/>
        </w:rPr>
        <w:t xml:space="preserve">О 1 АВГУСТА 202</w:t>
      </w:r>
      <w:r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 xml:space="preserve">ГОДА НА ТЕРРИТОРИИ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ХАНТЫ-МАНСИЙСКОГО АВТОНОМНОГО ОКРУГА - ЮГРЫ</w:t>
      </w:r>
      <w:r>
        <w:rPr>
          <w:sz w:val="28"/>
          <w:szCs w:val="28"/>
        </w:rPr>
      </w:r>
      <w:r/>
    </w:p>
    <w:p>
      <w:pPr>
        <w:ind w:firstLine="0"/>
        <w:jc w:val="center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0"/>
        <w:jc w:val="center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0"/>
        <w:jc w:val="center"/>
        <w:rPr>
          <w:sz w:val="28"/>
          <w:szCs w:val="28"/>
        </w:rPr>
        <w:suppressLineNumbers w:val="0"/>
      </w:pPr>
      <w:r>
        <w:rPr>
          <w:b/>
          <w:sz w:val="28"/>
          <w:szCs w:val="28"/>
        </w:rPr>
        <w:t xml:space="preserve">Том 1</w:t>
      </w:r>
      <w:r>
        <w:rPr>
          <w:sz w:val="28"/>
          <w:szCs w:val="28"/>
        </w:rPr>
      </w:r>
      <w:r/>
    </w:p>
    <w:p>
      <w:pPr>
        <w:ind w:firstLine="0"/>
        <w:jc w:val="center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Ответственный исполнитель: </w:t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онсультант отдела мониторинга, кадастра </w:t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и регулирования численности объектов </w:t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животного мира  </w:t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по использованию </w:t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объектов животного мира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Департамента недропользования </w:t>
      </w:r>
      <w:r>
        <w:rPr>
          <w:sz w:val="28"/>
          <w:szCs w:val="28"/>
          <w:highlight w:val="none"/>
        </w:rPr>
      </w:r>
      <w:r/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и природных </w:t>
      </w:r>
      <w:r>
        <w:rPr>
          <w:sz w:val="28"/>
          <w:szCs w:val="28"/>
          <w:highlight w:val="none"/>
        </w:rPr>
        <w:t xml:space="preserve">ресурсов </w:t>
      </w:r>
      <w:r>
        <w:rPr>
          <w:sz w:val="28"/>
          <w:szCs w:val="28"/>
          <w:highlight w:val="none"/>
        </w:rPr>
      </w:r>
      <w:r/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Ханты-Мансийского автономного округа – Югры</w:t>
      </w:r>
      <w:r>
        <w:rPr>
          <w:sz w:val="28"/>
          <w:szCs w:val="28"/>
          <w:highlight w:val="none"/>
        </w:rPr>
        <w:t xml:space="preserve"> ________ </w:t>
      </w:r>
      <w:r>
        <w:rPr>
          <w:sz w:val="28"/>
          <w:szCs w:val="28"/>
        </w:rPr>
        <w:t xml:space="preserve">О.С. Коробочкина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highlight w:val="none"/>
        </w:rPr>
        <w:t xml:space="preserve">  </w:t>
      </w:r>
      <w:r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</w:r>
      <w:r/>
    </w:p>
    <w:p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Согласовано: </w:t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мониторинга, кадастра и </w:t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регулирования численности объектов</w:t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животного мира 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по использованию </w:t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объектов животного мира</w:t>
      </w:r>
      <w:r>
        <w:rPr>
          <w:sz w:val="28"/>
          <w:szCs w:val="28"/>
        </w:rPr>
      </w:r>
      <w:r/>
    </w:p>
    <w:p>
      <w:r>
        <w:rPr>
          <w:sz w:val="28"/>
          <w:szCs w:val="28"/>
          <w:highlight w:val="none"/>
        </w:rPr>
        <w:t xml:space="preserve">Департамента недропользования </w:t>
      </w:r>
      <w:r>
        <w:rPr>
          <w:sz w:val="28"/>
          <w:szCs w:val="28"/>
        </w:rPr>
      </w:r>
      <w:r/>
    </w:p>
    <w:p>
      <w:r>
        <w:rPr>
          <w:sz w:val="28"/>
          <w:szCs w:val="28"/>
          <w:highlight w:val="none"/>
        </w:rPr>
        <w:t xml:space="preserve">и природных </w:t>
      </w:r>
      <w:r>
        <w:rPr>
          <w:sz w:val="28"/>
          <w:szCs w:val="28"/>
          <w:highlight w:val="none"/>
        </w:rPr>
        <w:t xml:space="preserve">ресурсов </w:t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Ханты-Мансийского автономного округа – Югры</w:t>
      </w:r>
      <w:r>
        <w:rPr>
          <w:sz w:val="28"/>
          <w:szCs w:val="28"/>
          <w:highlight w:val="none"/>
        </w:rPr>
        <w:t xml:space="preserve"> ________ </w:t>
      </w:r>
      <w:r>
        <w:rPr>
          <w:sz w:val="28"/>
          <w:szCs w:val="28"/>
        </w:rPr>
        <w:t xml:space="preserve">Н.Н. Пащенко </w:t>
      </w:r>
      <w:r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</w:r>
      <w:r/>
    </w:p>
    <w:p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</w:r>
      <w:r/>
    </w:p>
    <w:p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/>
    </w:p>
    <w:p>
      <w:pPr>
        <w:ind w:firstLine="540"/>
      </w:pPr>
      <w:r>
        <w:rPr>
          <w:sz w:val="28"/>
          <w:szCs w:val="28"/>
        </w:rPr>
        <w:t xml:space="preserve">                                            </w:t>
      </w:r>
      <w:r/>
    </w:p>
    <w:p>
      <w:pPr>
        <w:ind w:firstLine="540"/>
        <w:jc w:val="center"/>
      </w:pPr>
      <w:r>
        <w:rPr>
          <w:sz w:val="28"/>
          <w:szCs w:val="28"/>
        </w:rPr>
        <w:t xml:space="preserve">Ханты-Мансийск</w:t>
      </w:r>
      <w:r/>
    </w:p>
    <w:p>
      <w:pPr>
        <w:ind w:firstLine="540"/>
        <w:jc w:val="center"/>
      </w:pPr>
      <w:r>
        <w:rPr>
          <w:sz w:val="28"/>
          <w:szCs w:val="28"/>
        </w:rPr>
        <w:t xml:space="preserve">202</w:t>
      </w:r>
      <w:r>
        <w:rPr>
          <w:sz w:val="28"/>
          <w:szCs w:val="28"/>
          <w:highlight w:val="none"/>
        </w:rPr>
        <w:t xml:space="preserve">4</w:t>
      </w:r>
      <w:r>
        <w:rPr>
          <w:sz w:val="28"/>
          <w:szCs w:val="28"/>
        </w:rPr>
      </w:r>
      <w:r/>
    </w:p>
    <w:p>
      <w:pPr>
        <w:jc w:val="center"/>
        <w:spacing w:line="360" w:lineRule="auto"/>
      </w:pPr>
      <w:r>
        <w:rPr>
          <w:b/>
          <w:sz w:val="28"/>
          <w:szCs w:val="28"/>
        </w:rPr>
        <w:t xml:space="preserve">Материалы, обосновывающие лимиты добычи охотничьих ресурсов          с 1 августа 202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года до 1 августа 202</w:t>
      </w:r>
      <w:r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 xml:space="preserve">года </w:t>
      </w:r>
      <w:r>
        <w:rPr>
          <w:b/>
          <w:sz w:val="28"/>
          <w:szCs w:val="28"/>
        </w:rPr>
        <w:t xml:space="preserve">на территории                     </w:t>
      </w:r>
      <w:r>
        <w:rPr>
          <w:b/>
          <w:sz w:val="28"/>
          <w:szCs w:val="28"/>
        </w:rPr>
        <w:t xml:space="preserve"> Ханты-Мансийско</w:t>
      </w:r>
      <w:r>
        <w:rPr>
          <w:b/>
          <w:sz w:val="28"/>
          <w:szCs w:val="28"/>
        </w:rPr>
        <w:t xml:space="preserve">го</w:t>
      </w:r>
      <w:r>
        <w:rPr>
          <w:b/>
          <w:sz w:val="28"/>
          <w:szCs w:val="28"/>
        </w:rPr>
        <w:t xml:space="preserve"> автономн</w:t>
      </w:r>
      <w:r>
        <w:rPr>
          <w:b/>
          <w:sz w:val="28"/>
          <w:szCs w:val="28"/>
        </w:rPr>
        <w:t xml:space="preserve">ого</w:t>
      </w:r>
      <w:r>
        <w:rPr>
          <w:b/>
          <w:sz w:val="28"/>
          <w:szCs w:val="28"/>
        </w:rPr>
        <w:t xml:space="preserve"> округ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– Югр</w:t>
      </w:r>
      <w:r>
        <w:rPr>
          <w:b/>
          <w:sz w:val="28"/>
          <w:szCs w:val="28"/>
        </w:rPr>
        <w:t xml:space="preserve">ы</w:t>
      </w:r>
      <w:r>
        <w:rPr>
          <w:b/>
          <w:sz w:val="28"/>
          <w:szCs w:val="28"/>
        </w:rPr>
      </w:r>
      <w:r/>
    </w:p>
    <w:p>
      <w:pPr>
        <w:ind w:firstLine="540"/>
        <w:jc w:val="center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4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Материалы п</w:t>
      </w:r>
      <w:r>
        <w:rPr>
          <w:sz w:val="28"/>
          <w:szCs w:val="28"/>
        </w:rPr>
        <w:t xml:space="preserve">одготовлены</w:t>
      </w:r>
      <w:r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епартамент</w:t>
      </w:r>
      <w:r>
        <w:rPr>
          <w:sz w:val="28"/>
          <w:szCs w:val="28"/>
        </w:rPr>
        <w:t xml:space="preserve">ом недропользования и природных </w:t>
      </w:r>
      <w:r>
        <w:rPr>
          <w:sz w:val="28"/>
          <w:szCs w:val="28"/>
        </w:rPr>
        <w:t xml:space="preserve">ресурсов Ханты-Мансийского автономного округа – Югры включают:</w:t>
      </w:r>
      <w:r/>
    </w:p>
    <w:p>
      <w:pPr>
        <w:ind w:firstLine="4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 Вводная часть</w:t>
      </w:r>
      <w:r>
        <w:rPr>
          <w:sz w:val="28"/>
          <w:szCs w:val="28"/>
          <w:u w:val="single"/>
        </w:rPr>
        <w:t xml:space="preserve">                                                                            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стр. 3-4</w:t>
      </w:r>
      <w:r>
        <w:rPr>
          <w:sz w:val="28"/>
          <w:szCs w:val="28"/>
          <w:highlight w:val="none"/>
        </w:rPr>
      </w:r>
      <w:r/>
    </w:p>
    <w:p>
      <w:pPr>
        <w:ind w:firstLine="408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2.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Методики по проведению учетных работ охотничьих ресурсов</w:t>
      </w:r>
      <w:r>
        <w:rPr>
          <w:sz w:val="28"/>
          <w:szCs w:val="28"/>
          <w:highlight w:val="none"/>
        </w:rPr>
        <w:t xml:space="preserve">_ стр. 5</w:t>
      </w:r>
      <w:r>
        <w:rPr>
          <w:sz w:val="28"/>
          <w:szCs w:val="28"/>
          <w:highlight w:val="none"/>
        </w:rPr>
      </w:r>
      <w:r/>
    </w:p>
    <w:p>
      <w:pPr>
        <w:ind w:firstLine="408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</w:t>
      </w:r>
      <w:r>
        <w:rPr>
          <w:sz w:val="28"/>
          <w:szCs w:val="28"/>
        </w:rPr>
        <w:t xml:space="preserve">.  Основная часть</w:t>
      </w:r>
      <w:r>
        <w:rPr>
          <w:sz w:val="28"/>
          <w:szCs w:val="28"/>
          <w:u w:val="single"/>
        </w:rPr>
        <w:t xml:space="preserve">                                               </w:t>
      </w:r>
      <w:r>
        <w:rPr>
          <w:sz w:val="28"/>
          <w:szCs w:val="28"/>
          <w:u w:val="single"/>
        </w:rPr>
        <w:t xml:space="preserve">                       </w:t>
      </w:r>
      <w:r>
        <w:rPr>
          <w:sz w:val="28"/>
          <w:szCs w:val="28"/>
          <w:u w:val="single"/>
        </w:rPr>
        <w:t xml:space="preserve">        </w:t>
      </w:r>
      <w:r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 xml:space="preserve">стр.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22</w:t>
      </w:r>
      <w:r>
        <w:rPr>
          <w:sz w:val="28"/>
          <w:szCs w:val="28"/>
          <w:highlight w:val="none"/>
        </w:rPr>
      </w:r>
      <w:r/>
    </w:p>
    <w:p>
      <w:pPr>
        <w:ind w:firstLine="408"/>
        <w:jc w:val="both"/>
        <w:spacing w:line="360" w:lineRule="auto"/>
      </w:pPr>
      <w:r>
        <w:rPr>
          <w:sz w:val="28"/>
          <w:szCs w:val="28"/>
          <w:highlight w:val="none"/>
        </w:rPr>
        <w:t xml:space="preserve">4</w:t>
      </w:r>
      <w:r>
        <w:rPr>
          <w:sz w:val="28"/>
          <w:szCs w:val="28"/>
        </w:rPr>
        <w:t xml:space="preserve">. Заключительная часть</w:t>
      </w:r>
      <w:r>
        <w:rPr>
          <w:sz w:val="28"/>
          <w:szCs w:val="28"/>
          <w:u w:val="single"/>
        </w:rPr>
        <w:t xml:space="preserve">                                                  </w:t>
      </w:r>
      <w:r>
        <w:rPr>
          <w:sz w:val="28"/>
          <w:szCs w:val="28"/>
          <w:u w:val="single"/>
        </w:rPr>
        <w:t xml:space="preserve">                   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стр. 2</w:t>
      </w:r>
      <w:r>
        <w:rPr>
          <w:sz w:val="28"/>
          <w:szCs w:val="28"/>
        </w:rPr>
        <w:t xml:space="preserve">3</w:t>
      </w:r>
      <w:r/>
    </w:p>
    <w:p>
      <w:pPr>
        <w:ind w:firstLine="408"/>
        <w:jc w:val="both"/>
        <w:spacing w:line="360" w:lineRule="auto"/>
      </w:pPr>
      <w:r>
        <w:rPr>
          <w:sz w:val="28"/>
          <w:szCs w:val="28"/>
          <w:highlight w:val="none"/>
        </w:rPr>
        <w:t xml:space="preserve">5</w:t>
      </w:r>
      <w:r>
        <w:rPr>
          <w:sz w:val="28"/>
          <w:szCs w:val="28"/>
        </w:rPr>
        <w:t xml:space="preserve">. Список используемой литературы  </w:t>
      </w:r>
      <w:r>
        <w:rPr>
          <w:sz w:val="28"/>
          <w:szCs w:val="28"/>
          <w:u w:val="single"/>
        </w:rPr>
        <w:t xml:space="preserve">                    </w:t>
      </w:r>
      <w:r>
        <w:rPr>
          <w:sz w:val="28"/>
          <w:szCs w:val="28"/>
          <w:u w:val="single"/>
        </w:rPr>
        <w:t xml:space="preserve">                           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стр. 2</w:t>
      </w:r>
      <w:r>
        <w:rPr>
          <w:sz w:val="28"/>
          <w:szCs w:val="28"/>
        </w:rPr>
        <w:t xml:space="preserve">4</w:t>
      </w:r>
      <w:r/>
    </w:p>
    <w:p>
      <w:pPr>
        <w:ind w:firstLine="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/>
    </w:p>
    <w:p>
      <w:pPr>
        <w:ind w:firstLine="709"/>
        <w:jc w:val="both"/>
        <w:spacing w:line="360" w:lineRule="auto"/>
        <w:rPr>
          <w:b/>
          <w:bCs/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b/>
          <w:sz w:val="28"/>
          <w:szCs w:val="28"/>
        </w:rPr>
        <w:t xml:space="preserve">в том числе:</w:t>
      </w:r>
      <w:r>
        <w:rPr>
          <w:b/>
          <w:sz w:val="28"/>
          <w:szCs w:val="28"/>
        </w:rPr>
        <w:tab/>
      </w:r>
      <w:r/>
    </w:p>
    <w:p>
      <w:pPr>
        <w:ind w:firstLine="709"/>
        <w:jc w:val="both"/>
        <w:spacing w:line="360" w:lineRule="auto"/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  <w:t xml:space="preserve">- проект устанавливаемых квот добычи лимитированных видов охотничьих ресурсов в охотничьих угодьях общего пользования и закрепленных охотничьих угодьях Ханты-Мансийского автономного округа – Югры в сезоне охоты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-202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spacing w:line="360" w:lineRule="auto"/>
        <w:rPr>
          <w:highlight w:val="white"/>
        </w:rPr>
        <w:suppressLineNumbers w:val="0"/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- </w:t>
      </w:r>
      <w:r>
        <w:rPr>
          <w:sz w:val="28"/>
          <w:szCs w:val="28"/>
          <w:highlight w:val="white"/>
        </w:rPr>
        <w:t xml:space="preserve">сведения о мониторинге охотничьих ресурсов в </w:t>
      </w:r>
      <w:r>
        <w:rPr>
          <w:sz w:val="28"/>
          <w:szCs w:val="28"/>
          <w:highlight w:val="white"/>
        </w:rPr>
        <w:t xml:space="preserve">                               </w:t>
      </w:r>
      <w:r>
        <w:rPr>
          <w:sz w:val="28"/>
          <w:szCs w:val="28"/>
          <w:highlight w:val="white"/>
        </w:rPr>
        <w:t xml:space="preserve">Ханты-Мансийском автономном округе — Югре </w:t>
      </w:r>
      <w:r>
        <w:rPr>
          <w:sz w:val="28"/>
          <w:szCs w:val="28"/>
          <w:highlight w:val="white"/>
        </w:rPr>
        <w:t xml:space="preserve">за 202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 год, представлены Департаментом недропользования и природных ресурсов Ханты-Мансийского автономного округа – Югры в Департамент </w:t>
      </w:r>
      <w:r>
        <w:rPr>
          <w:sz w:val="28"/>
          <w:szCs w:val="28"/>
          <w:highlight w:val="white"/>
        </w:rPr>
        <w:t xml:space="preserve">государственной политики и регулирования в области охоты и сохранения охотничьих ресурсов министерства природных ресурсов и экологии Российской Федераци</w:t>
      </w:r>
      <w:r>
        <w:rPr>
          <w:color w:val="auto"/>
          <w:sz w:val="28"/>
          <w:szCs w:val="28"/>
          <w:highlight w:val="white"/>
        </w:rPr>
        <w:t xml:space="preserve">и;</w:t>
      </w:r>
      <w:r>
        <w:rPr>
          <w:highlight w:val="white"/>
        </w:rPr>
      </w:r>
      <w:r/>
    </w:p>
    <w:p>
      <w:pPr>
        <w:pStyle w:val="930"/>
        <w:ind w:firstLine="709"/>
        <w:spacing w:line="360" w:lineRule="auto"/>
        <w:suppressLineNumbers w:val="0"/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- отчет о государственном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охотхозяйственном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реестре предоставленный Департаментом недропользования и природных ресурсов Ханты-Мансийского автономного округа – Югры в Департамент государственной политики и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регулирования в области охоты и сохранения охотничьих ресурсов Министерства природных ресурсов и экологии Росс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ийской Фе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дерации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  <w:lang w:val="en-US"/>
        </w:rPr>
        <w:t xml:space="preserve">5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сентября 202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  <w:lang w:val="en-US"/>
        </w:rPr>
        <w:t xml:space="preserve">3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года № 12-Исх-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  <w:lang w:val="en-US"/>
        </w:rPr>
        <w:t xml:space="preserve">26534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.</w:t>
      </w:r>
      <w:r>
        <w:br w:type="page" w:clear="all"/>
      </w:r>
      <w:r/>
    </w:p>
    <w:p>
      <w:pPr>
        <w:pStyle w:val="910"/>
        <w:numPr>
          <w:ilvl w:val="0"/>
          <w:numId w:val="1"/>
        </w:numPr>
        <w:ind w:firstLine="408"/>
        <w:jc w:val="center"/>
        <w:spacing w:line="360" w:lineRule="auto"/>
        <w:rPr>
          <w:b/>
          <w:bCs w:val="0"/>
          <w:i w:val="0"/>
          <w:sz w:val="28"/>
          <w:szCs w:val="28"/>
          <w:highlight w:val="none"/>
        </w:rPr>
        <w:suppressLineNumbers w:val="0"/>
      </w:pPr>
      <w:r>
        <w:rPr>
          <w:b/>
          <w:i w:val="0"/>
          <w:iCs w:val="0"/>
          <w:sz w:val="28"/>
          <w:szCs w:val="28"/>
        </w:rPr>
        <w:t xml:space="preserve">Вводная часть</w:t>
      </w:r>
      <w:r>
        <w:rPr>
          <w:i w:val="0"/>
          <w:iCs w:val="0"/>
        </w:rPr>
      </w:r>
      <w:r/>
    </w:p>
    <w:p>
      <w:pPr>
        <w:ind w:firstLine="408"/>
        <w:jc w:val="center"/>
        <w:spacing w:line="360" w:lineRule="auto"/>
        <w:suppressLineNumbers w:val="0"/>
      </w:pPr>
      <w:r>
        <w:rPr>
          <w:b/>
          <w:i/>
          <w:sz w:val="28"/>
          <w:szCs w:val="28"/>
          <w:highlight w:val="none"/>
        </w:rPr>
      </w:r>
      <w:r>
        <w:rPr>
          <w:b/>
          <w:i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В целях реализации статей 24, 33, 38 Федерального закона от 24 июля 2009 года № 209-ФЗ «Об охоте и о сохранении охотничьих р</w:t>
      </w:r>
      <w:r>
        <w:rPr>
          <w:sz w:val="28"/>
          <w:szCs w:val="28"/>
        </w:rPr>
        <w:t xml:space="preserve">есурсов и о внесении изменений в отдельные законодательные акты Российской Федерации», изъятие объектов животного мира осуществляется в пределах допустимого изъятия установленных приказом Министерства природных ресурсов и экологии Российской Федерации от 2</w:t>
      </w:r>
      <w:r>
        <w:rPr>
          <w:sz w:val="28"/>
          <w:szCs w:val="28"/>
        </w:rPr>
        <w:t xml:space="preserve">7 января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49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нормативов допустимого</w:t>
      </w:r>
      <w:r>
        <w:rPr>
          <w:sz w:val="28"/>
          <w:szCs w:val="28"/>
        </w:rPr>
        <w:t xml:space="preserve">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г.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965</w:t>
      </w:r>
      <w:r>
        <w:rPr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</w:t>
      </w:r>
      <w:r>
        <w:rPr>
          <w:rFonts w:ascii="Times New Roman" w:hAnsi="Times New Roman" w:cs="Times New Roman"/>
          <w:sz w:val="28"/>
          <w:szCs w:val="28"/>
        </w:rPr>
        <w:t xml:space="preserve">7]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</w:rPr>
      </w:r>
      <w:r/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  <w:t xml:space="preserve">Порядок принятия документа об утверждении лимита добычи охотничьих ресурсов определён приказом Министерства природных ресурсов и экологии Российской Федерации</w:t>
      </w:r>
      <w:r>
        <w:rPr>
          <w:sz w:val="28"/>
          <w:szCs w:val="28"/>
        </w:rPr>
        <w:t xml:space="preserve"> от 27 ноября 2020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981 «Об утверждении порядка подготовки, принятия документа об утверждении лимита добычи охотничьих ресурсов, внесения в него изменений и требований к его содержанию и составу».</w:t>
      </w:r>
      <w:r>
        <w:rPr>
          <w:sz w:val="28"/>
          <w:szCs w:val="28"/>
        </w:rPr>
      </w:r>
      <w:r/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  <w:t xml:space="preserve">Добыча охотничьих ресурсов регламентируется:</w:t>
      </w:r>
      <w:r/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  <w:t xml:space="preserve">- Приказом Министерства природных ресурсов и экологии Российской Федерации от 24 июля 2020 года № 477 «Об утверждении правил охоты»;</w:t>
      </w:r>
      <w:r/>
    </w:p>
    <w:p>
      <w:pPr>
        <w:contextualSpacing/>
        <w:ind w:firstLine="709"/>
        <w:jc w:val="both"/>
        <w:spacing w:line="360" w:lineRule="auto"/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  <w:t xml:space="preserve">- Приказом Министерства природных ресурсов и экологии Российской Федерации от 29 августа 2014 года № 379 «Об ут</w:t>
      </w:r>
      <w:r>
        <w:rPr>
          <w:sz w:val="28"/>
          <w:szCs w:val="28"/>
        </w:rPr>
        <w:t xml:space="preserve">верждении порядка оформления и выдачи разрешений на добычу охотничьих ресурсов, порядка подачи заявок и заявлений, необходимых для выдачи таких разрешений, и утверждении форм бланков разрешений на добычу копытных животных, медведей, пушных животных, птиц»;</w:t>
      </w:r>
      <w:r/>
    </w:p>
    <w:p>
      <w:pPr>
        <w:pStyle w:val="929"/>
        <w:contextualSpacing/>
        <w:ind w:left="0" w:firstLine="709"/>
        <w:spacing w:line="360" w:lineRule="auto"/>
        <w:suppressLineNumbers w:val="0"/>
      </w:pPr>
      <w:r>
        <w:tab/>
        <w:t xml:space="preserve">- Законом Ханты-Мансийского автономного округа – Югры от                         29 октября 2007 года № 142-оз «О регулировании отдельных вопросов в </w:t>
      </w:r>
      <w:r>
        <w:t xml:space="preserve">области охраны и использования животного мира на территории </w:t>
      </w:r>
      <w:r>
        <w:t xml:space="preserve">                        </w:t>
      </w:r>
      <w:r>
        <w:t xml:space="preserve">Ханты-Мансийского автономного округа – Югры»;</w:t>
      </w:r>
      <w:r/>
    </w:p>
    <w:p>
      <w:pPr>
        <w:pStyle w:val="929"/>
        <w:contextualSpacing/>
        <w:ind w:left="0" w:firstLine="709"/>
        <w:spacing w:line="360" w:lineRule="auto"/>
        <w:rPr>
          <w:sz w:val="28"/>
          <w:szCs w:val="28"/>
        </w:rPr>
        <w:suppressLineNumbers w:val="0"/>
      </w:pPr>
      <w:r>
        <w:tab/>
        <w:t xml:space="preserve">- Законом Ханты-Мансийского автономного округа – Югры от                                  11 июня 2010 года № 96-оз «О регулировании отдельных отношений в области охо</w:t>
      </w:r>
      <w:r>
        <w:rPr>
          <w:sz w:val="28"/>
          <w:szCs w:val="28"/>
        </w:rPr>
        <w:t xml:space="preserve">ты и сохранения охотничьих ресурсов на территории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Ханты-Мансийского автономного округа – Югры»;</w:t>
      </w:r>
      <w:r>
        <w:rPr>
          <w:sz w:val="28"/>
          <w:szCs w:val="28"/>
        </w:rPr>
      </w:r>
      <w:r/>
    </w:p>
    <w:p>
      <w:pPr>
        <w:pStyle w:val="929"/>
        <w:contextualSpacing/>
        <w:ind w:left="0" w:firstLine="709"/>
        <w:spacing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Постановление Губернатора ХМАО - Югры от 27.07.2023 № 114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лимитах добычи охотничьих ресурсов с 1 августа 2023 года до 1 августа 2024 года для Ханты-Мансийского автономного округа - Югры»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Целью изъятия объектов животного мира из среды их обитания, является реализация на территории Х</w:t>
      </w:r>
      <w:r>
        <w:rPr>
          <w:sz w:val="28"/>
          <w:szCs w:val="28"/>
        </w:rPr>
        <w:t xml:space="preserve">анты-Мансийского автономного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  <w:highlight w:val="none"/>
        </w:rPr>
        <w:t xml:space="preserve">– Югры хозяйственной деятельности по организации и проведению промысловой, спортивной и любительской охоты в период с 1 августа 2024 года до 1 августа 2025 года.</w:t>
      </w:r>
      <w:r/>
    </w:p>
    <w:p>
      <w:pPr>
        <w:contextualSpacing/>
        <w:ind w:firstLine="709"/>
        <w:jc w:val="both"/>
        <w:spacing w:line="360" w:lineRule="auto"/>
        <w:rPr>
          <w:highlight w:val="none"/>
        </w:rPr>
        <w:suppressLineNumbers w:val="0"/>
      </w:pPr>
      <w:r>
        <w:rPr>
          <w:sz w:val="28"/>
          <w:szCs w:val="28"/>
          <w:highlight w:val="none"/>
        </w:rPr>
        <w:t xml:space="preserve">Н</w:t>
      </w:r>
      <w:r>
        <w:rPr>
          <w:sz w:val="28"/>
          <w:szCs w:val="28"/>
          <w:highlight w:val="none"/>
        </w:rPr>
        <w:t xml:space="preserve">ормировани</w:t>
      </w:r>
      <w:r>
        <w:rPr>
          <w:sz w:val="28"/>
          <w:szCs w:val="28"/>
          <w:highlight w:val="none"/>
        </w:rPr>
        <w:t xml:space="preserve">е</w:t>
      </w:r>
      <w:r>
        <w:rPr>
          <w:sz w:val="28"/>
          <w:szCs w:val="28"/>
          <w:highlight w:val="none"/>
        </w:rPr>
        <w:t xml:space="preserve"> добычи охотничьих ресурсов и установление объёмов (лимитов) их изъятия является - рациональное (не</w:t>
      </w:r>
      <w:r>
        <w:rPr>
          <w:sz w:val="28"/>
          <w:szCs w:val="28"/>
          <w:highlight w:val="none"/>
        </w:rPr>
        <w:t xml:space="preserve"> истощительное) использование охотничьих ресурсов, их охрана, а значит управление их численностью. При этом учитывается их высокая динамичность при постоянном слежении за изменениями их численности и добычи, то есть ведение мониторинга охотничьих ресурсов.</w:t>
      </w:r>
      <w:r/>
    </w:p>
    <w:p>
      <w:pPr>
        <w:pStyle w:val="930"/>
        <w:contextualSpacing/>
        <w:ind w:firstLine="408"/>
        <w:jc w:val="center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i/>
          <w:sz w:val="28"/>
          <w:szCs w:val="28"/>
        </w:rPr>
      </w:r>
      <w:r/>
    </w:p>
    <w:p>
      <w:pPr>
        <w:contextualSpacing/>
        <w:ind w:firstLine="408"/>
        <w:spacing w:line="360" w:lineRule="auto"/>
        <w:rPr>
          <w:rFonts w:eastAsia="Calibri"/>
          <w:b/>
          <w:i/>
          <w:sz w:val="28"/>
          <w:szCs w:val="28"/>
        </w:rPr>
        <w:suppressLineNumbers w:val="0"/>
      </w:pPr>
      <w:r>
        <w:br w:type="page" w:clear="all"/>
      </w:r>
      <w:r/>
    </w:p>
    <w:p>
      <w:pPr>
        <w:pStyle w:val="930"/>
        <w:contextualSpacing w:val="0"/>
        <w:ind w:firstLine="709"/>
        <w:jc w:val="center"/>
        <w:spacing w:line="360" w:lineRule="auto"/>
        <w:rPr>
          <w:rFonts w:ascii="Times New Roman" w:hAnsi="Times New Roman" w:cs="Times New Roman"/>
          <w:b/>
          <w:bCs w:val="0"/>
          <w:i w:val="0"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  <w:highlight w:val="none"/>
        </w:rPr>
        <w:t xml:space="preserve">2. </w:t>
      </w: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Методики по проведению учетных работ охотничьих ресурсов</w:t>
      </w:r>
      <w:r>
        <w:rPr>
          <w:i w:val="0"/>
          <w:iCs w:val="0"/>
        </w:rPr>
      </w:r>
      <w:r/>
    </w:p>
    <w:p>
      <w:pPr>
        <w:pStyle w:val="930"/>
        <w:contextualSpacing w:val="0"/>
        <w:ind w:firstLine="709"/>
        <w:jc w:val="center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i/>
          <w:sz w:val="28"/>
          <w:szCs w:val="28"/>
        </w:rPr>
      </w:r>
      <w:r/>
    </w:p>
    <w:p>
      <w:pPr>
        <w:pStyle w:val="930"/>
        <w:contextualSpacing w:val="0"/>
        <w:ind w:firstLine="709"/>
        <w:spacing w:line="360" w:lineRule="auto"/>
        <w:tabs>
          <w:tab w:val="left" w:pos="0" w:leader="none"/>
        </w:tabs>
        <w:rPr>
          <w:color w:val="auto"/>
          <w:highlight w:val="none"/>
        </w:rPr>
        <w:suppressLineNumbers w:val="0"/>
      </w:pPr>
      <w:r>
        <w:rPr>
          <w:rFonts w:ascii="Times New Roman" w:hAnsi="Times New Roman" w:cs="Times New Roman"/>
          <w:b/>
          <w:i/>
          <w:color w:val="auto"/>
          <w:sz w:val="28"/>
          <w:szCs w:val="28"/>
          <w:highlight w:val="none"/>
        </w:rPr>
        <w:t xml:space="preserve">-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Учет численности барсука (май-июль 2023 г.) проводился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согласно сборнику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методических указаний по учетам охотничьих зверей и птиц (ХМАО-Югра, Управление по использованию рыбных и охотничьих ресурсов автономного округа, г. Ханты-Мансийск, 2006 г.);</w:t>
      </w:r>
      <w:r/>
    </w:p>
    <w:p>
      <w:pPr>
        <w:pStyle w:val="930"/>
        <w:contextualSpacing w:val="0"/>
        <w:ind w:firstLine="709"/>
        <w:spacing w:line="360" w:lineRule="auto"/>
        <w:tabs>
          <w:tab w:val="left" w:pos="0" w:leader="none"/>
        </w:tabs>
        <w:rPr>
          <w:color w:val="auto"/>
          <w:highlight w:val="none"/>
        </w:rPr>
        <w:suppressLineNumbers w:val="0"/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- Учет численности бурого медведя (май-июль 2023 г.)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согласно сборнику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методических указаний по учетам охотничьих зверей и птиц (ХМАО-Югра, Управление по использованию рыбных и охотничьих ресурсов автономного округа, г. Ханты-Мансийск, 2006 г.);</w:t>
      </w:r>
      <w:r/>
    </w:p>
    <w:p>
      <w:pPr>
        <w:pStyle w:val="930"/>
        <w:contextualSpacing w:val="0"/>
        <w:ind w:firstLine="709"/>
        <w:spacing w:line="360" w:lineRule="auto"/>
        <w:tabs>
          <w:tab w:val="left" w:pos="709" w:leader="none"/>
        </w:tabs>
        <w:rPr>
          <w:color w:val="auto"/>
          <w:highlight w:val="none"/>
        </w:rPr>
        <w:suppressLineNumbers w:val="0"/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- Учет численности выдры (октябрь-ноябрь 2023 г.)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проводился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согласно сборника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методических указаний по учетам охотничьих зверей и птиц (ХМАО-Югра, Управление по использованию рыбных и охотничьих ресурсов автономного округа, г. Ханты-Мансийск, 2006 г.);</w:t>
      </w:r>
      <w:r/>
    </w:p>
    <w:p>
      <w:pPr>
        <w:pStyle w:val="930"/>
        <w:contextualSpacing w:val="0"/>
        <w:ind w:firstLine="709"/>
        <w:spacing w:line="360" w:lineRule="auto"/>
        <w:tabs>
          <w:tab w:val="left" w:pos="709" w:leader="none"/>
        </w:tabs>
        <w:rPr>
          <w:rFonts w:ascii="Times New Roman" w:hAnsi="Times New Roman" w:cs="Times New Roman"/>
          <w:color w:val="auto"/>
          <w:sz w:val="28"/>
          <w:szCs w:val="28"/>
          <w:highlight w:val="yellow"/>
        </w:rPr>
        <w:suppressLineNumbers w:val="0"/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- Нормативы учетных работ при проведении зимнего маршрутного учета (далее - ЗМУ) охотничьих животных на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территории общедоступных охотничьих угодий (далее - ООУ)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включая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территории традиционного природопользования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Ханты-Мансийского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автономного округа – Югры в 2024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году рассчитаны в соответствии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«М</w:t>
      </w:r>
      <w:r>
        <w:rPr>
          <w:rFonts w:ascii="Times New Roman" w:hAnsi="Times New Roman" w:eastAsia="Calibri" w:cs="Times New Roman"/>
          <w:color w:val="auto"/>
          <w:sz w:val="28"/>
          <w:szCs w:val="28"/>
          <w:highlight w:val="white"/>
        </w:rPr>
        <w:t xml:space="preserve">етодиками учета численности охотничьих ресурсов»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утвержденными </w:t>
      </w:r>
      <w:r>
        <w:rPr>
          <w:rFonts w:ascii="Times New Roman" w:hAnsi="Times New Roman" w:eastAsia="Calibri" w:cs="Times New Roman"/>
          <w:color w:val="auto"/>
          <w:sz w:val="28"/>
          <w:szCs w:val="28"/>
          <w:highlight w:val="white"/>
        </w:rPr>
        <w:t xml:space="preserve">при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казом ФГБУ «Федеральный центр развития охотничьего хозяйства» от 22 ноября 2023 года № 49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auto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</w:rPr>
      </w:r>
      <w:r/>
    </w:p>
    <w:p>
      <w:pPr>
        <w:pStyle w:val="930"/>
        <w:contextualSpacing w:val="0"/>
        <w:ind w:firstLine="709"/>
        <w:spacing w:line="360" w:lineRule="auto"/>
        <w:tabs>
          <w:tab w:val="left" w:pos="709" w:leader="none"/>
        </w:tabs>
        <w:rPr>
          <w:rFonts w:ascii="Times New Roman" w:hAnsi="Times New Roman" w:cs="Times New Roman"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Площадь и протяженность маршрутов ЗМУ на территории ООУ включая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территории традиционного природопользования (далее - ТТП) и на территории закрепленных охотничьих угодий в 202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году представлена в таблицах 1 и 2.</w:t>
      </w:r>
      <w:r/>
    </w:p>
    <w:p>
      <w:pPr>
        <w:pStyle w:val="930"/>
        <w:contextualSpacing/>
        <w:ind w:firstLine="709"/>
        <w:spacing w:line="360" w:lineRule="auto"/>
        <w:tabs>
          <w:tab w:val="left" w:pos="709" w:leader="none"/>
        </w:tabs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cs="Times New Roman"/>
          <w:color w:val="auto"/>
          <w:sz w:val="28"/>
          <w:szCs w:val="28"/>
        </w:rPr>
      </w:r>
      <w:r/>
    </w:p>
    <w:p>
      <w:pPr>
        <w:ind w:firstLine="709"/>
        <w:spacing w:line="360" w:lineRule="auto"/>
        <w:rPr>
          <w:rFonts w:eastAsia="Calibri"/>
          <w:color w:val="auto"/>
          <w:sz w:val="28"/>
          <w:szCs w:val="28"/>
        </w:rPr>
        <w:suppressLineNumbers w:val="0"/>
      </w:pPr>
      <w:r>
        <w:rPr>
          <w:rFonts w:eastAsia="Calibri"/>
          <w:color w:val="auto"/>
          <w:sz w:val="28"/>
          <w:szCs w:val="28"/>
        </w:rPr>
      </w:r>
      <w:r>
        <w:rPr>
          <w:rFonts w:eastAsia="Calibri"/>
          <w:color w:val="auto"/>
          <w:sz w:val="28"/>
          <w:szCs w:val="28"/>
        </w:rPr>
      </w:r>
      <w:r/>
    </w:p>
    <w:p>
      <w:pPr>
        <w:ind w:firstLine="709"/>
        <w:spacing w:line="360" w:lineRule="auto"/>
        <w:rPr>
          <w:rFonts w:eastAsia="Calibri"/>
          <w:color w:val="auto"/>
          <w:sz w:val="28"/>
          <w:szCs w:val="28"/>
        </w:rPr>
        <w:suppressLineNumbers w:val="0"/>
      </w:pPr>
      <w:r>
        <w:rPr>
          <w:rFonts w:eastAsia="Calibri"/>
          <w:color w:val="auto"/>
          <w:sz w:val="28"/>
          <w:szCs w:val="28"/>
        </w:rPr>
      </w:r>
      <w:r>
        <w:rPr>
          <w:rFonts w:eastAsia="Calibri"/>
          <w:color w:val="auto"/>
          <w:sz w:val="28"/>
          <w:szCs w:val="28"/>
        </w:rPr>
      </w:r>
      <w:r/>
    </w:p>
    <w:p>
      <w:pPr>
        <w:ind w:firstLine="709"/>
        <w:spacing w:line="360" w:lineRule="auto"/>
        <w:rPr>
          <w:rFonts w:eastAsia="Calibri"/>
          <w:color w:val="auto"/>
          <w:sz w:val="28"/>
          <w:szCs w:val="28"/>
        </w:rPr>
        <w:suppressLineNumbers w:val="0"/>
      </w:pPr>
      <w:r>
        <w:rPr>
          <w:rFonts w:eastAsia="Calibri"/>
          <w:color w:val="auto"/>
          <w:sz w:val="28"/>
          <w:szCs w:val="28"/>
        </w:rPr>
      </w:r>
      <w:r>
        <w:rPr>
          <w:rFonts w:eastAsia="Calibri"/>
          <w:color w:val="auto"/>
          <w:sz w:val="28"/>
          <w:szCs w:val="28"/>
        </w:rPr>
      </w:r>
      <w:r/>
    </w:p>
    <w:p>
      <w:pPr>
        <w:ind w:firstLine="709"/>
        <w:jc w:val="center"/>
        <w:spacing w:line="360" w:lineRule="auto"/>
        <w:rPr>
          <w:rFonts w:eastAsia="Calibri"/>
          <w:b/>
          <w:bCs/>
          <w:color w:val="auto"/>
          <w:sz w:val="28"/>
          <w:szCs w:val="28"/>
        </w:rPr>
        <w:suppressLineNumbers w:val="0"/>
      </w:pPr>
      <w:r>
        <w:rPr>
          <w:rFonts w:eastAsia="Calibri"/>
          <w:b/>
          <w:bCs/>
          <w:color w:val="auto"/>
          <w:sz w:val="28"/>
          <w:szCs w:val="28"/>
          <w:highlight w:val="none"/>
        </w:rPr>
        <w:t xml:space="preserve">3. Основная часть</w:t>
      </w:r>
      <w:r>
        <w:rPr>
          <w:rFonts w:eastAsia="Calibri"/>
          <w:b/>
          <w:bCs/>
          <w:color w:val="auto"/>
          <w:sz w:val="28"/>
          <w:szCs w:val="28"/>
        </w:rPr>
      </w:r>
      <w:r/>
    </w:p>
    <w:p>
      <w:pPr>
        <w:jc w:val="right"/>
        <w:rPr>
          <w:highlight w:val="none"/>
        </w:rPr>
      </w:pPr>
      <w:r>
        <w:t xml:space="preserve">Таблица 1</w:t>
      </w:r>
      <w:r/>
    </w:p>
    <w:p>
      <w:pPr>
        <w:jc w:val="right"/>
        <w:rPr>
          <w:sz w:val="10"/>
          <w:szCs w:val="10"/>
        </w:rPr>
      </w:pPr>
      <w:r>
        <w:rPr>
          <w:sz w:val="10"/>
          <w:szCs w:val="10"/>
          <w:highlight w:val="none"/>
        </w:rPr>
      </w:r>
      <w:r>
        <w:rPr>
          <w:sz w:val="10"/>
          <w:szCs w:val="10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Площадь и протяженность маршрутов ЗМУ </w:t>
      </w:r>
      <w:r/>
    </w:p>
    <w:p>
      <w:pPr>
        <w:jc w:val="center"/>
      </w:pPr>
      <w:r>
        <w:rPr>
          <w:b/>
          <w:sz w:val="28"/>
          <w:szCs w:val="28"/>
        </w:rPr>
        <w:t xml:space="preserve">на ООУ включая</w:t>
      </w:r>
      <w:r>
        <w:rPr>
          <w:b/>
          <w:sz w:val="28"/>
          <w:szCs w:val="28"/>
        </w:rPr>
        <w:t xml:space="preserve"> ТТП в 2024</w:t>
      </w:r>
      <w:r>
        <w:rPr>
          <w:b/>
          <w:sz w:val="28"/>
          <w:szCs w:val="28"/>
        </w:rPr>
        <w:t xml:space="preserve"> году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9488" w:type="dxa"/>
        <w:jc w:val="center"/>
        <w:tblInd w:w="48" w:type="dxa"/>
        <w:tblCellMar>
          <w:left w:w="38" w:type="dxa"/>
        </w:tblCellMar>
        <w:tblLook w:val="0000" w:firstRow="0" w:lastRow="0" w:firstColumn="0" w:lastColumn="0" w:noHBand="0" w:noVBand="0"/>
      </w:tblPr>
      <w:tblGrid>
        <w:gridCol w:w="3459"/>
        <w:gridCol w:w="2072"/>
        <w:gridCol w:w="1840"/>
        <w:gridCol w:w="2117"/>
      </w:tblGrid>
      <w:tr>
        <w:trPr>
          <w:jc w:val="center"/>
          <w:trHeight w:val="1245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Наименование муниципального образования, на территории которого находятся охотничьи угодья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7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Площадь общедоступных охотничьих угодий и ТТП,  тыс. га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Протяженность маршрутов,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км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1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Количество ведомостей ЗМУ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color w:val="1b1b1b"/>
                <w:sz w:val="24"/>
                <w:szCs w:val="24"/>
                <w:highlight w:val="white"/>
              </w:rPr>
            </w:pPr>
            <w:r>
              <w:rPr>
                <w:color w:val="1b1b1b"/>
                <w:sz w:val="24"/>
                <w:szCs w:val="24"/>
                <w:highlight w:val="white"/>
              </w:rPr>
              <w:t xml:space="preserve">Белоярский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72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537</w:t>
            </w:r>
            <w:r>
              <w:rPr>
                <w:sz w:val="24"/>
                <w:szCs w:val="24"/>
                <w:highlight w:val="white"/>
              </w:rPr>
              <w:t xml:space="preserve">,</w:t>
            </w:r>
            <w:r>
              <w:rPr>
                <w:sz w:val="24"/>
                <w:szCs w:val="24"/>
                <w:highlight w:val="white"/>
              </w:rPr>
              <w:t xml:space="preserve">074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480,7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17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color w:val="1b1b1b"/>
                <w:sz w:val="24"/>
                <w:szCs w:val="24"/>
                <w:highlight w:val="white"/>
              </w:rPr>
            </w:pPr>
            <w:r>
              <w:rPr>
                <w:color w:val="1b1b1b"/>
                <w:sz w:val="24"/>
                <w:szCs w:val="24"/>
                <w:highlight w:val="white"/>
              </w:rPr>
              <w:t xml:space="preserve">Берёзовский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72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5824,5</w:t>
            </w:r>
            <w:r>
              <w:rPr>
                <w:sz w:val="24"/>
                <w:szCs w:val="24"/>
                <w:highlight w:val="white"/>
              </w:rPr>
              <w:t xml:space="preserve">85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977,7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17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89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color w:val="1b1b1b"/>
                <w:sz w:val="24"/>
                <w:szCs w:val="24"/>
                <w:highlight w:val="white"/>
              </w:rPr>
            </w:pPr>
            <w:r>
              <w:rPr>
                <w:color w:val="1b1b1b"/>
                <w:sz w:val="24"/>
                <w:szCs w:val="24"/>
                <w:highlight w:val="white"/>
              </w:rPr>
              <w:t xml:space="preserve">Кондинский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72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3534,8</w:t>
            </w:r>
            <w:r>
              <w:rPr>
                <w:sz w:val="24"/>
                <w:szCs w:val="24"/>
                <w:highlight w:val="white"/>
              </w:rPr>
              <w:t xml:space="preserve">43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660,9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17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color w:val="1b1b1b"/>
                <w:sz w:val="24"/>
                <w:szCs w:val="24"/>
                <w:highlight w:val="white"/>
              </w:rPr>
            </w:pPr>
            <w:r>
              <w:rPr>
                <w:color w:val="1b1b1b"/>
                <w:sz w:val="24"/>
                <w:szCs w:val="24"/>
                <w:highlight w:val="white"/>
              </w:rPr>
              <w:t xml:space="preserve">Нефтеюганский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72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1420,775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684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17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46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color w:val="1b1b1b"/>
                <w:sz w:val="24"/>
                <w:szCs w:val="24"/>
                <w:highlight w:val="white"/>
              </w:rPr>
            </w:pPr>
            <w:r>
              <w:rPr>
                <w:color w:val="1b1b1b"/>
                <w:sz w:val="24"/>
                <w:szCs w:val="24"/>
                <w:highlight w:val="white"/>
              </w:rPr>
              <w:t xml:space="preserve">Нижневартовский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72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5329,284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1790,7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17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124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color w:val="1b1b1b"/>
                <w:sz w:val="24"/>
                <w:szCs w:val="24"/>
                <w:highlight w:val="white"/>
              </w:rPr>
            </w:pPr>
            <w:r>
              <w:rPr>
                <w:color w:val="1b1b1b"/>
                <w:sz w:val="24"/>
                <w:szCs w:val="24"/>
                <w:highlight w:val="white"/>
              </w:rPr>
              <w:t xml:space="preserve">Октябрьский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72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1503,781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373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17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color w:val="1b1b1b"/>
                <w:sz w:val="24"/>
                <w:szCs w:val="24"/>
                <w:highlight w:val="white"/>
              </w:rPr>
            </w:pPr>
            <w:r>
              <w:rPr>
                <w:color w:val="1b1b1b"/>
                <w:sz w:val="24"/>
                <w:szCs w:val="24"/>
                <w:highlight w:val="white"/>
              </w:rPr>
              <w:t xml:space="preserve">Советский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72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1506,9</w:t>
            </w:r>
            <w:r>
              <w:rPr>
                <w:sz w:val="24"/>
                <w:szCs w:val="24"/>
                <w:highlight w:val="white"/>
              </w:rPr>
              <w:t xml:space="preserve">26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680,8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17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color w:val="1b1b1b"/>
                <w:sz w:val="24"/>
                <w:szCs w:val="24"/>
                <w:highlight w:val="white"/>
              </w:rPr>
            </w:pPr>
            <w:r>
              <w:rPr>
                <w:color w:val="1b1b1b"/>
                <w:sz w:val="24"/>
                <w:szCs w:val="24"/>
                <w:highlight w:val="white"/>
              </w:rPr>
              <w:t xml:space="preserve">Сургутский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72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8289,488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1256,3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17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84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color w:val="1b1b1b"/>
                <w:sz w:val="24"/>
                <w:szCs w:val="24"/>
                <w:highlight w:val="white"/>
              </w:rPr>
            </w:pPr>
            <w:r>
              <w:rPr>
                <w:color w:val="1b1b1b"/>
                <w:sz w:val="24"/>
                <w:szCs w:val="24"/>
                <w:highlight w:val="white"/>
              </w:rPr>
              <w:t xml:space="preserve">Ханты-Мансийский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72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21</w:t>
            </w:r>
            <w:r>
              <w:rPr>
                <w:sz w:val="24"/>
                <w:szCs w:val="24"/>
                <w:highlight w:val="white"/>
              </w:rPr>
              <w:t xml:space="preserve">68</w:t>
            </w:r>
            <w:r>
              <w:rPr>
                <w:sz w:val="24"/>
                <w:szCs w:val="24"/>
                <w:highlight w:val="white"/>
              </w:rPr>
              <w:t xml:space="preserve">,</w:t>
            </w:r>
            <w:r>
              <w:rPr>
                <w:sz w:val="24"/>
                <w:szCs w:val="24"/>
                <w:highlight w:val="white"/>
              </w:rPr>
              <w:t xml:space="preserve">457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1420,9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17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116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>
          <w:jc w:val="center"/>
          <w:trHeight w:val="270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color w:val="1b1b1b"/>
                <w:sz w:val="24"/>
                <w:szCs w:val="24"/>
                <w:highlight w:val="white"/>
              </w:rPr>
            </w:pPr>
            <w:r>
              <w:rPr>
                <w:color w:val="1b1b1b"/>
                <w:sz w:val="24"/>
                <w:szCs w:val="24"/>
                <w:highlight w:val="white"/>
              </w:rPr>
              <w:t xml:space="preserve">Итого: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72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32115,213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8325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17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626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</w:tbl>
    <w:p>
      <w:pPr>
        <w:jc w:val="right"/>
      </w:pPr>
      <w:r>
        <w:t xml:space="preserve">                                              </w:t>
      </w:r>
      <w:r/>
    </w:p>
    <w:p>
      <w:pPr>
        <w:jc w:val="right"/>
        <w:rPr>
          <w:highlight w:val="none"/>
        </w:rPr>
      </w:pPr>
      <w:r>
        <w:t xml:space="preserve">Таблица 2</w:t>
      </w:r>
      <w:r/>
    </w:p>
    <w:p>
      <w:pPr>
        <w:jc w:val="right"/>
        <w:rPr>
          <w:sz w:val="10"/>
          <w:szCs w:val="10"/>
        </w:rPr>
      </w:pPr>
      <w:r>
        <w:rPr>
          <w:sz w:val="10"/>
          <w:szCs w:val="10"/>
          <w:highlight w:val="none"/>
        </w:rPr>
      </w:r>
      <w:r>
        <w:rPr>
          <w:sz w:val="10"/>
          <w:szCs w:val="10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Площадь и протяженность маршрутов ЗМУ </w:t>
      </w:r>
      <w:r/>
    </w:p>
    <w:p>
      <w:pPr>
        <w:jc w:val="center"/>
      </w:pPr>
      <w:r>
        <w:rPr>
          <w:b/>
          <w:sz w:val="28"/>
          <w:szCs w:val="28"/>
        </w:rPr>
        <w:t xml:space="preserve">на территории закрепленных охотничьих угодий</w:t>
      </w:r>
      <w:r>
        <w:rPr>
          <w:b/>
          <w:sz w:val="28"/>
          <w:szCs w:val="28"/>
        </w:rPr>
        <w:t xml:space="preserve"> в 202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году</w:t>
      </w:r>
      <w:r/>
    </w:p>
    <w:p>
      <w:r/>
      <w:r/>
    </w:p>
    <w:tbl>
      <w:tblPr>
        <w:tblW w:w="9487" w:type="dxa"/>
        <w:tblInd w:w="109" w:type="dxa"/>
        <w:tblCellMar>
          <w:left w:w="98" w:type="dxa"/>
        </w:tblCellMar>
        <w:tblLook w:val="0000" w:firstRow="0" w:lastRow="0" w:firstColumn="0" w:lastColumn="0" w:noHBand="0" w:noVBand="0"/>
      </w:tblPr>
      <w:tblGrid>
        <w:gridCol w:w="2819"/>
        <w:gridCol w:w="2174"/>
        <w:gridCol w:w="2061"/>
        <w:gridCol w:w="2433"/>
      </w:tblGrid>
      <w:tr>
        <w:trPr>
          <w:trHeight w:val="2122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pStyle w:val="929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b/>
                <w:bCs/>
                <w:highlight w:val="white"/>
              </w:rPr>
              <w:suppressLineNumbers w:val="0"/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Наименование муниципального образования, на территории которого находятся охотничьи угодья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174" w:type="dxa"/>
            <w:vAlign w:val="center"/>
            <w:textDirection w:val="lrTb"/>
            <w:noWrap w:val="false"/>
          </w:tcPr>
          <w:p>
            <w:pPr>
              <w:pStyle w:val="929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b/>
                <w:bCs/>
                <w:highlight w:val="white"/>
              </w:rPr>
              <w:suppressLineNumbers w:val="0"/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Площадь закрепленных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охотничьих угодий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по материалам ЗМУ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тыс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.г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b/>
                <w:bCs/>
                <w:highlight w:val="white"/>
              </w:rPr>
              <w:suppressLineNumbers w:val="0"/>
            </w:pPr>
            <w:r>
              <w:rPr>
                <w:b/>
                <w:bCs/>
                <w:highlight w:val="white"/>
              </w:rPr>
              <w:t xml:space="preserve">Протяженность маршрутов, </w:t>
            </w:r>
            <w:r>
              <w:rPr>
                <w:b/>
                <w:bCs/>
                <w:highlight w:val="white"/>
              </w:rPr>
              <w:t xml:space="preserve">км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3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b/>
                <w:bCs/>
                <w:highlight w:val="white"/>
              </w:rPr>
              <w:suppressLineNumbers w:val="0"/>
            </w:pPr>
            <w:r>
              <w:rPr>
                <w:b/>
                <w:bCs/>
                <w:highlight w:val="white"/>
              </w:rPr>
              <w:t xml:space="preserve">Количество ведомостей ЗМУ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Белоярский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174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613,728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705,7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3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61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Берёзовский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174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1960,02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2048,1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3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163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Кондинский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174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1613,07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2011,7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3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</w:t>
            </w:r>
            <w:r>
              <w:rPr>
                <w:highlight w:val="white"/>
              </w:rPr>
              <w:t xml:space="preserve">63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Нефтеюганский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174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992,027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1100,6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3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101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Нижневартовский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174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4307,281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3928,40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3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300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Октябрьский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174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437,737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739,2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3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67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Советский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174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817,939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1446,1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3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146</w:t>
            </w:r>
            <w:r>
              <w:rPr>
                <w:highlight w:val="white"/>
              </w:rPr>
            </w:r>
            <w:r/>
          </w:p>
        </w:tc>
      </w:tr>
      <w:tr>
        <w:trPr>
          <w:trHeight w:val="227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Сургутский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174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1178,09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767,2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3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63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Ханты-Мансийский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174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19</w:t>
            </w:r>
            <w:r>
              <w:rPr>
                <w:highlight w:val="white"/>
              </w:rPr>
              <w:t xml:space="preserve">37,619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4587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3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434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81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b/>
                <w:highlight w:val="white"/>
              </w:rPr>
              <w:t xml:space="preserve">Итого: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174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13857,511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17334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3" w:type="dxa"/>
            <w:vAlign w:val="center"/>
            <w:textDirection w:val="lrTb"/>
            <w:noWrap w:val="false"/>
          </w:tcPr>
          <w:p>
            <w:pPr>
              <w:pStyle w:val="983"/>
              <w:ind w:lef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1498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935"/>
        <w:ind w:firstLine="0"/>
        <w:jc w:val="both"/>
        <w:spacing w:line="360" w:lineRule="auto"/>
        <w:rPr>
          <w:rFonts w:ascii="Times New Roman" w:hAnsi="Times New Roman" w:cs="Times New Roman"/>
          <w:sz w:val="10"/>
          <w:szCs w:val="10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10"/>
          <w:szCs w:val="10"/>
          <w:highlight w:val="none"/>
        </w:rPr>
      </w:r>
      <w:r/>
    </w:p>
    <w:p>
      <w:pPr>
        <w:pStyle w:val="935"/>
        <w:ind w:left="0" w:right="0" w:firstLine="709"/>
        <w:jc w:val="both"/>
        <w:spacing w:line="360" w:lineRule="auto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Методические указания используются при определении численности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лося, европейской и сибирской косуль, благородного оленя, пятнистого оленя, дикого северного оленя лесной популяции, кабарги, а также рыси, соболя, кабана, волка, лисицы, корсака, куниц, хорей, росомахи, горностая, колонка, белки, зайца беляка, зайца руса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(далее – звери), а также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рябчика, тетерева, глухарей, куропаток, фазана</w:t>
      </w:r>
      <w:r>
        <w:rPr>
          <w:rFonts w:ascii="Times New Roman" w:hAnsi="Times New Roman" w:eastAsia="Times New Roman" w:cs="Times New Roman"/>
          <w:color w:val="000000"/>
          <w:sz w:val="24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(далее – птицы)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исследуемых территориях, площадь которых составляет 8 тыс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га 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более.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Данные учета численности зверей и птиц методом ЗМУ используются при определении квот добычи соответствующих видов охотничьих ресурсо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в, норм допустимой добычи охотничьих ресурсов и норм пропускной способности охотничьих угодий, принятии решения органами государственной власти о регулировании численности охотничьих ресурсов, осуществлении анализа состояния популяций охотничьих ресурсов. 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Методические указания применяются в субъектах Центрального, Северо-Западного (за исключением Калининградской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области), Северо-Кавказского (за исключением Республики Дагестан,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Ставра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польского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края),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Приволжского, Уральского, Сибирского и Дальневосточного федеральных округов, а также в Республике Адыгея и Астраханской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[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]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Срок (период) проведения ЗМУ должен быть завершен не позднее 25 марта и включает период планир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ования полевых работ на учетных маршрутах, периоды проведения полевых работ и определения численности зверей и птиц.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Полевые работы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проводятся в период с 15 января по 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март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алее – период проведения полевых работ).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исследуемой территории определяется общая длина учетных маршрутов исходя, из условия, что запланированная общая длина учетных маршрутов должна быть не меньше минимально необходимой общей длины учетных маршрутов. 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Минимально необходимая общая длина учетных маршрутов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исследуемой территории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должна составлять: 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для площади от 8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тыс. 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ключительно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 тыс. 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включительно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менее 80 км, при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этом количество учетных маршрутов должно быть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менее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для площади от 30 тыс. га. до 50 тыс. га. включительно не менее 100 км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этом количество учетных маршрутов должно быть не менее 7.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для площади свыше 50 тыс. 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 100 тыс. га. включительно не менее величины,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рассчитывается в соответствии с формулами представл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енными в Методических указаниях.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для площади свыше 100 тыс. 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 200 тыс. га. включительно не менее величины,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рассчитывается в соответствии с формулами представленными в Методических указаниях.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Протяженность одного учетного маршрута должна составлять не менее 5 и не более 15 км. 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Учет проводился по заранее определенным учетным маршрутам с одновременной записью параметров прохождения учетного маршрута на приемник глобальных спутниковых навигационных систем (далее - спутниковый навигатор).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После прохождения каждого учетного маршрута учётчиками заполнялась ведо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мость зимнего маршрутного учета.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Специалистами отдела мониторинга кадастра и регулирования численности объектов животного мира Управления по использованию объектов животного мира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Департамента недропользования и природных ресурсов Ханты-Мансийского автономного округа – Югры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выполнена оценка качества ведомостей зимнего маршрутного учета на соответствие Методическим указаниям, их обработка и расчет численности зверей и птиц.</w:t>
      </w:r>
      <w:r>
        <w:rPr>
          <w:highlight w:val="white"/>
        </w:rPr>
      </w:r>
      <w:r/>
    </w:p>
    <w:p>
      <w:pPr>
        <w:pStyle w:val="935"/>
        <w:ind w:firstLine="709"/>
        <w:jc w:val="both"/>
        <w:spacing w:line="360" w:lineRule="auto"/>
        <w:rPr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результате полученных расчётов численности зверей и птиц в общедоступных (включая территории традиционного природопользования) и закреплённых охотничьих угодьях Ханты-Мансийского автономного округа - Югры получена достаточно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информативная картина состояния охотничьей фауны, позволяющая судить о фазах и уровне их численности. Показательны в этом плане не только данные регистрации определенных сведений, сколько познание закономерностей распределения ресурсов диких животных, их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пространственного и временного изменения. </w:t>
      </w:r>
      <w:r>
        <w:rPr>
          <w:highlight w:val="white"/>
        </w:rPr>
      </w:r>
      <w:r/>
    </w:p>
    <w:p>
      <w:pPr>
        <w:ind w:firstLine="709"/>
        <w:jc w:val="both"/>
        <w:spacing w:line="360" w:lineRule="auto"/>
        <w:rPr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Охотничьи виды пушных зверей включают млекопитающих, являющихся источником сырья для меховой промышленности. </w:t>
      </w:r>
      <w:r>
        <w:rPr>
          <w:sz w:val="28"/>
          <w:szCs w:val="28"/>
          <w:highlight w:val="white"/>
        </w:rPr>
        <w:t xml:space="preserve">К числу основных пушных видов, обитающих на территории Ханты-Мансийского автономного округа – Югры, относятся белка, соболь, норка, горностай, колонок, куница, выдра, росомаха, лисица, волк, рысь, ондатра, заяц-беляк, барсук.</w:t>
      </w:r>
      <w:r>
        <w:rPr>
          <w:highlight w:val="white"/>
        </w:rPr>
      </w:r>
      <w:r/>
    </w:p>
    <w:p>
      <w:pPr>
        <w:ind w:firstLine="709"/>
        <w:jc w:val="both"/>
        <w:spacing w:line="360" w:lineRule="auto"/>
        <w:rPr>
          <w:highlight w:val="yellow"/>
        </w:rPr>
        <w:suppressLineNumbers w:val="0"/>
      </w:pPr>
      <w:r>
        <w:rPr>
          <w:sz w:val="28"/>
          <w:szCs w:val="28"/>
          <w:highlight w:val="white"/>
        </w:rPr>
        <w:t xml:space="preserve">Дикие копытные животные представлены на тер</w:t>
      </w:r>
      <w:r>
        <w:rPr>
          <w:sz w:val="28"/>
          <w:szCs w:val="28"/>
          <w:highlight w:val="white"/>
        </w:rPr>
        <w:t xml:space="preserve">ритории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Ханты-Мансийского автономного округа - Югры</w:t>
      </w:r>
      <w:r>
        <w:rPr>
          <w:sz w:val="28"/>
          <w:szCs w:val="28"/>
          <w:highlight w:val="white"/>
        </w:rPr>
        <w:t xml:space="preserve"> лосем, северным ол</w:t>
      </w:r>
      <w:r>
        <w:rPr>
          <w:sz w:val="28"/>
          <w:szCs w:val="28"/>
          <w:highlight w:val="white"/>
        </w:rPr>
        <w:t xml:space="preserve">енем и кабаном. </w:t>
      </w:r>
      <w:r>
        <w:rPr>
          <w:highlight w:val="white"/>
        </w:rPr>
      </w:r>
      <w:r/>
    </w:p>
    <w:p>
      <w:pPr>
        <w:ind w:firstLine="709"/>
        <w:jc w:val="both"/>
        <w:spacing w:line="36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При расчете численности охотничьих ресурсов использовались пересчетные коэффициенты, согласно Методическим указаниям.</w:t>
      </w:r>
      <w:r>
        <w:rPr>
          <w:highlight w:val="white"/>
        </w:rPr>
      </w:r>
      <w:r/>
    </w:p>
    <w:p>
      <w:pPr>
        <w:ind w:firstLine="709"/>
        <w:jc w:val="both"/>
        <w:spacing w:line="360" w:lineRule="auto"/>
        <w:rPr>
          <w:highlight w:val="white"/>
        </w:rPr>
        <w:suppressLineNumbers w:val="0"/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white"/>
        </w:rPr>
        <w:t xml:space="preserve">Нормативы учетных работ учета медведя на территории общедоступных охотничьих угодий (включая ТТП) Ханты-Мансийского автономного округа - Югры в 202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 году рассчитаны </w:t>
      </w:r>
      <w:r>
        <w:rPr>
          <w:sz w:val="28"/>
          <w:szCs w:val="28"/>
          <w:highlight w:val="white"/>
        </w:rPr>
        <w:t xml:space="preserve">согласно сборнику</w:t>
      </w:r>
      <w:r>
        <w:rPr>
          <w:sz w:val="28"/>
          <w:szCs w:val="28"/>
          <w:highlight w:val="white"/>
        </w:rPr>
        <w:t xml:space="preserve"> методических указаний по учетам охотничьих зверей и птиц. </w:t>
      </w:r>
      <w:r>
        <w:rPr>
          <w:sz w:val="28"/>
          <w:szCs w:val="28"/>
          <w:highlight w:val="white"/>
        </w:rPr>
        <w:t xml:space="preserve">Площадь, пригодная для обитания медведя и площадь обследованных участков н</w:t>
      </w:r>
      <w:r>
        <w:rPr>
          <w:sz w:val="28"/>
          <w:szCs w:val="28"/>
          <w:highlight w:val="white"/>
        </w:rPr>
        <w:t xml:space="preserve">а территории ООУ включая</w:t>
      </w:r>
      <w:r>
        <w:rPr>
          <w:sz w:val="28"/>
          <w:szCs w:val="28"/>
          <w:highlight w:val="white"/>
        </w:rPr>
        <w:t xml:space="preserve"> ТТП в 202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 году представлена </w:t>
      </w:r>
      <w:r>
        <w:rPr>
          <w:sz w:val="28"/>
          <w:szCs w:val="28"/>
          <w:highlight w:val="white"/>
        </w:rPr>
        <w:t xml:space="preserve">в таблице 3.</w:t>
      </w:r>
      <w:r>
        <w:rPr>
          <w:highlight w:val="white"/>
        </w:rPr>
      </w:r>
      <w:r/>
    </w:p>
    <w:p>
      <w:pPr>
        <w:ind w:firstLine="567"/>
        <w:jc w:val="right"/>
        <w:spacing w:line="276" w:lineRule="auto"/>
        <w:rPr>
          <w:highlight w:val="none"/>
        </w:rPr>
      </w:pPr>
      <w:r>
        <w:t xml:space="preserve">Таблица 3</w:t>
      </w:r>
      <w:r/>
    </w:p>
    <w:p>
      <w:pPr>
        <w:ind w:firstLine="567"/>
        <w:jc w:val="right"/>
        <w:spacing w:line="276" w:lineRule="auto"/>
        <w:rPr>
          <w:sz w:val="10"/>
          <w:szCs w:val="10"/>
        </w:rPr>
      </w:pPr>
      <w:r>
        <w:rPr>
          <w:sz w:val="10"/>
          <w:szCs w:val="10"/>
          <w:highlight w:val="none"/>
        </w:rPr>
      </w:r>
      <w:r>
        <w:rPr>
          <w:sz w:val="10"/>
          <w:szCs w:val="10"/>
        </w:rPr>
      </w:r>
      <w:r/>
    </w:p>
    <w:p>
      <w:pPr>
        <w:jc w:val="center"/>
      </w:pPr>
      <w:r/>
      <w:bookmarkStart w:id="1" w:name="__DdeLink__37432_2358454447"/>
      <w:r>
        <w:rPr>
          <w:b/>
          <w:sz w:val="28"/>
          <w:szCs w:val="28"/>
        </w:rPr>
        <w:t xml:space="preserve">Площадь, пригодная для обитания медведя и площад</w:t>
      </w:r>
      <w:bookmarkEnd w:id="1"/>
      <w:r>
        <w:rPr>
          <w:b/>
          <w:sz w:val="28"/>
          <w:szCs w:val="28"/>
        </w:rPr>
        <w:t xml:space="preserve">ь обследованных участков на ООУ включая</w:t>
      </w:r>
      <w:r>
        <w:rPr>
          <w:b/>
          <w:sz w:val="28"/>
          <w:szCs w:val="28"/>
        </w:rPr>
        <w:t xml:space="preserve"> ТТП в 2023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году</w:t>
      </w:r>
      <w:r/>
    </w:p>
    <w:p>
      <w:pPr>
        <w:jc w:val="center"/>
        <w:rPr>
          <w:b/>
          <w:sz w:val="10"/>
          <w:szCs w:val="10"/>
        </w:rPr>
      </w:pPr>
      <w:r>
        <w:rPr>
          <w:b/>
          <w:sz w:val="10"/>
          <w:szCs w:val="10"/>
        </w:rPr>
      </w:r>
      <w:r>
        <w:rPr>
          <w:b/>
          <w:sz w:val="10"/>
          <w:szCs w:val="10"/>
        </w:rPr>
      </w:r>
      <w:r/>
    </w:p>
    <w:tbl>
      <w:tblPr>
        <w:tblW w:w="9488" w:type="dxa"/>
        <w:tblInd w:w="48" w:type="dxa"/>
        <w:tblLayout w:type="fixed"/>
        <w:tblCellMar>
          <w:left w:w="38" w:type="dxa"/>
        </w:tblCellMar>
        <w:tblLook w:val="0000" w:firstRow="0" w:lastRow="0" w:firstColumn="0" w:lastColumn="0" w:noHBand="0" w:noVBand="0"/>
      </w:tblPr>
      <w:tblGrid>
        <w:gridCol w:w="3817"/>
        <w:gridCol w:w="3401"/>
        <w:gridCol w:w="2270"/>
      </w:tblGrid>
      <w:tr>
        <w:trPr>
          <w:trHeight w:val="812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81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b/>
                <w:bCs/>
                <w:highlight w:val="white"/>
              </w:rPr>
              <w:suppressLineNumbers w:val="0"/>
            </w:pPr>
            <w:r>
              <w:rPr>
                <w:b/>
                <w:bCs/>
                <w:highlight w:val="white"/>
              </w:rPr>
              <w:t xml:space="preserve">Наименование муниципального образования, на территории которого находятся охотничьи угодья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b/>
                <w:bCs/>
                <w:highlight w:val="white"/>
              </w:rPr>
              <w:suppressLineNumbers w:val="0"/>
            </w:pPr>
            <w:r>
              <w:rPr>
                <w:b/>
                <w:bCs/>
                <w:highlight w:val="white"/>
              </w:rPr>
              <w:t xml:space="preserve">Площадь пригодная для обитания медведя на общедоступных охотничьих угодий и ТТП,  тыс. га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b/>
                <w:bCs/>
                <w:highlight w:val="white"/>
              </w:rPr>
              <w:suppressLineNumbers w:val="0"/>
            </w:pPr>
            <w:r>
              <w:rPr>
                <w:b/>
                <w:bCs/>
                <w:highlight w:val="white"/>
              </w:rPr>
              <w:t xml:space="preserve">Площадь обследованных участков </w:t>
            </w:r>
            <w:r>
              <w:rPr>
                <w:b/>
                <w:bCs/>
                <w:highlight w:val="white"/>
              </w:rPr>
              <w:t xml:space="preserve">тыс</w:t>
            </w:r>
            <w:r>
              <w:rPr>
                <w:b/>
                <w:bCs/>
                <w:highlight w:val="white"/>
              </w:rPr>
              <w:t xml:space="preserve">.г</w:t>
            </w:r>
            <w:r>
              <w:rPr>
                <w:b/>
                <w:bCs/>
                <w:highlight w:val="white"/>
              </w:rPr>
              <w:t xml:space="preserve">а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81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Белоярский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2956,728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320,500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81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Берёзовский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5136,09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631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716225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81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Кондинский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2694,28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99365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81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Нефтеюганский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1352,491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126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000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81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Нижневартовский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4956,7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495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660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81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Октябрьский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1337,2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145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000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81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Советский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1329,973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201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140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81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Сургутский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7060,294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1173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682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0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81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Ханты-Мансийский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2038,863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206</w:t>
            </w:r>
            <w:r>
              <w:rPr>
                <w:highlight w:val="white"/>
              </w:rPr>
              <w:t xml:space="preserve">,</w:t>
            </w:r>
            <w:r>
              <w:rPr>
                <w:highlight w:val="white"/>
              </w:rPr>
              <w:t xml:space="preserve">300</w:t>
            </w:r>
            <w:r>
              <w:rPr>
                <w:highlight w:val="white"/>
              </w:rPr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81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b/>
                <w:highlight w:val="white"/>
              </w:rPr>
              <w:t xml:space="preserve">Итого: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40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28862,619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3302,9919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93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</w:t>
      </w:r>
      <w:r/>
    </w:p>
    <w:p>
      <w:pPr>
        <w:pStyle w:val="930"/>
        <w:ind w:firstLine="709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Нормативы работ по учету барсука на территории общедоступных охотничьих угодий включая территории традиционного природопользования Югры в 2023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 рассчитаны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согласно сборника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методических указаний по учетам охотничьих зверей и птиц [5].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Площадь пригодная для обитания барсука и площадь обследованных участков на территории ООУ включая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ТТП в 2023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 представлена в таблице 4.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30"/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4</w:t>
      </w:r>
      <w:r/>
    </w:p>
    <w:p>
      <w:pPr>
        <w:pStyle w:val="930"/>
        <w:jc w:val="right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jc w:val="center"/>
      </w:pPr>
      <w:r>
        <w:rPr>
          <w:b/>
          <w:sz w:val="28"/>
          <w:szCs w:val="28"/>
        </w:rPr>
        <w:t xml:space="preserve">Площадь пригодная для обитания барсука и площадь обследованных участков на ООУ включая</w:t>
      </w:r>
      <w:r>
        <w:rPr>
          <w:b/>
          <w:sz w:val="28"/>
          <w:szCs w:val="28"/>
        </w:rPr>
        <w:t xml:space="preserve"> ТТП в 202</w:t>
      </w:r>
      <w:r>
        <w:rPr>
          <w:b/>
          <w:sz w:val="28"/>
          <w:szCs w:val="28"/>
        </w:rPr>
        <w:t xml:space="preserve">3 </w:t>
      </w:r>
      <w:r>
        <w:rPr>
          <w:b/>
          <w:sz w:val="28"/>
          <w:szCs w:val="28"/>
        </w:rPr>
        <w:t xml:space="preserve">году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9484" w:type="dxa"/>
        <w:tblInd w:w="48" w:type="dxa"/>
        <w:tblCellMar>
          <w:left w:w="38" w:type="dxa"/>
        </w:tblCellMar>
        <w:tblLook w:val="0000" w:firstRow="0" w:lastRow="0" w:firstColumn="0" w:lastColumn="0" w:noHBand="0" w:noVBand="0"/>
      </w:tblPr>
      <w:tblGrid>
        <w:gridCol w:w="3369"/>
        <w:gridCol w:w="3685"/>
        <w:gridCol w:w="2430"/>
      </w:tblGrid>
      <w:tr>
        <w:trPr>
          <w:trHeight w:val="1415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36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Наименование муниципального образования, на территории которого находятся охотничьи угодья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Площадь пригодная для обитания барсука на общедоступных охотничьих угодьях и ТТП, тыс. га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Площадь обследованных участков </w:t>
            </w:r>
            <w:r>
              <w:rPr>
                <w:highlight w:val="white"/>
              </w:rPr>
              <w:t xml:space="preserve">тыс</w:t>
            </w:r>
            <w:r>
              <w:rPr>
                <w:highlight w:val="white"/>
              </w:rPr>
              <w:t xml:space="preserve">.г</w:t>
            </w:r>
            <w:r>
              <w:rPr>
                <w:highlight w:val="white"/>
              </w:rPr>
              <w:t xml:space="preserve">а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36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Белоярский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1153,167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1153,167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36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Берёзовский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2206,209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2206,209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36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Кондинский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754,074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754,074</w:t>
            </w:r>
            <w:r>
              <w:rPr>
                <w:highlight w:val="white"/>
              </w:rPr>
            </w:r>
            <w:r/>
          </w:p>
        </w:tc>
      </w:tr>
      <w:tr>
        <w:trPr>
          <w:trHeight w:val="0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36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Нефтеюганский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462,901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462,901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36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Нижневартовский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1305,9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1305,9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36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Октябрьский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831,918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831,918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36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Советский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528,612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528,612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36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Сургутский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1430,76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1430,76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0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36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Ханты-Мансийский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584,54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584,54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4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36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color w:val="auto"/>
                <w:highlight w:val="white"/>
              </w:rPr>
            </w:pPr>
            <w:r>
              <w:rPr>
                <w:b/>
                <w:color w:val="auto"/>
                <w:highlight w:val="white"/>
              </w:rPr>
              <w:t xml:space="preserve">Итого: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9258,0810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9258,0810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93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30"/>
        <w:ind w:firstLine="709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Нормативы работ по учету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выдры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 территории общедоступных охотничьих угодий включая территории традиционного природопользования Ханты-Мансийского автономного округа – Югры в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 рассчитаны в соответствии со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сборником методических указаний по учету охотничьих зверей и птиц (ХМАО-Югра, Управление по использованию рыбных и охотничьих ресурсов автономного округа, г. Ханты-Мансийск, 2006 г.). Площадь обследованных участков на территории ООУ, включая ТТП, в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 представлена в таблице 5.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jc w:val="right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right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right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right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right"/>
        <w:rPr>
          <w:highlight w:val="none"/>
        </w:rPr>
      </w:pPr>
      <w:r>
        <w:t xml:space="preserve">Таблица 5</w:t>
      </w:r>
      <w:r/>
    </w:p>
    <w:p>
      <w:pPr>
        <w:jc w:val="right"/>
      </w:pPr>
      <w:r>
        <w:rPr>
          <w:highlight w:val="none"/>
        </w:rPr>
      </w:r>
      <w:r>
        <w:rPr>
          <w:highlight w:val="none"/>
        </w:rPr>
      </w:r>
      <w:r/>
    </w:p>
    <w:p>
      <w:pPr>
        <w:jc w:val="center"/>
      </w:pPr>
      <w:r>
        <w:rPr>
          <w:b/>
          <w:sz w:val="28"/>
          <w:szCs w:val="28"/>
        </w:rPr>
        <w:t xml:space="preserve">Площадь обследованных участков на ООУ, включая ТТП, </w:t>
      </w:r>
      <w:r/>
    </w:p>
    <w:p>
      <w:pPr>
        <w:jc w:val="center"/>
      </w:pPr>
      <w:r>
        <w:rPr>
          <w:b/>
          <w:sz w:val="28"/>
          <w:szCs w:val="28"/>
        </w:rPr>
        <w:t xml:space="preserve">в 2023</w:t>
      </w:r>
      <w:r>
        <w:rPr>
          <w:b/>
          <w:sz w:val="28"/>
          <w:szCs w:val="28"/>
        </w:rPr>
        <w:t xml:space="preserve"> году</w:t>
      </w:r>
      <w:r>
        <w:rPr>
          <w:b/>
          <w:sz w:val="28"/>
          <w:szCs w:val="28"/>
        </w:rPr>
      </w:r>
      <w:r/>
    </w:p>
    <w:tbl>
      <w:tblPr>
        <w:tblW w:w="9484" w:type="dxa"/>
        <w:tblInd w:w="48" w:type="dxa"/>
        <w:tblCellMar>
          <w:left w:w="38" w:type="dxa"/>
        </w:tblCellMar>
        <w:tblLook w:val="0000" w:firstRow="0" w:lastRow="0" w:firstColumn="0" w:lastColumn="0" w:noHBand="0" w:noVBand="0"/>
      </w:tblPr>
      <w:tblGrid>
        <w:gridCol w:w="3225"/>
        <w:gridCol w:w="2978"/>
        <w:gridCol w:w="3281"/>
      </w:tblGrid>
      <w:tr>
        <w:trPr>
          <w:trHeight w:val="1597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highlight w:val="none"/>
              </w:rPr>
              <w:t xml:space="preserve">Наименование муниципального образования, на территории которого находятся охотничьи угодья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97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highlight w:val="none"/>
              </w:rPr>
              <w:t xml:space="preserve">Общая протяженность береговой линий, </w:t>
            </w:r>
            <w:r>
              <w:rPr>
                <w:highlight w:val="none"/>
              </w:rPr>
              <w:t xml:space="preserve">км</w:t>
            </w:r>
            <w:r>
              <w:rPr>
                <w:highlight w:val="none"/>
              </w:rPr>
              <w:t xml:space="preserve">.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281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highlight w:val="none"/>
              </w:rPr>
              <w:t xml:space="preserve">Протяженность обследованной береговой линии, </w:t>
            </w:r>
            <w:r>
              <w:rPr>
                <w:highlight w:val="none"/>
              </w:rPr>
              <w:t xml:space="preserve">км</w:t>
            </w:r>
            <w:r>
              <w:rPr>
                <w:highlight w:val="none"/>
              </w:rPr>
              <w:t xml:space="preserve">.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highlight w:val="none"/>
              </w:rPr>
              <w:t xml:space="preserve">Белоярский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97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t xml:space="preserve">3165,9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281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highlight w:val="none"/>
              </w:rPr>
              <w:t xml:space="preserve">617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highlight w:val="none"/>
              </w:rPr>
              <w:t xml:space="preserve">Берёзовский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97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t xml:space="preserve">450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281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highlight w:val="none"/>
              </w:rPr>
              <w:t xml:space="preserve">221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highlight w:val="none"/>
              </w:rPr>
              <w:t xml:space="preserve">Кондинский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97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t xml:space="preserve">2477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281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highlight w:val="none"/>
              </w:rPr>
              <w:t xml:space="preserve">269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highlight w:val="none"/>
              </w:rPr>
              <w:t xml:space="preserve">Нефтеюганский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97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t xml:space="preserve">140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281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highlight w:val="none"/>
              </w:rPr>
              <w:t xml:space="preserve">70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highlight w:val="none"/>
              </w:rPr>
              <w:t xml:space="preserve">Нижневартовский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97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t xml:space="preserve">718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281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highlight w:val="none"/>
              </w:rPr>
              <w:t xml:space="preserve">209,9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highlight w:val="none"/>
              </w:rPr>
              <w:t xml:space="preserve">Октябрьский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97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highlight w:val="none"/>
              </w:rPr>
              <w:t xml:space="preserve">178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281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highlight w:val="none"/>
              </w:rPr>
              <w:t xml:space="preserve">89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highlight w:val="none"/>
              </w:rPr>
              <w:t xml:space="preserve">Советский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97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t xml:space="preserve">423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281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highlight w:val="none"/>
              </w:rPr>
              <w:t xml:space="preserve">200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highlight w:val="none"/>
              </w:rPr>
              <w:t xml:space="preserve">Сургутский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97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t xml:space="preserve">1074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281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t xml:space="preserve">98,6</w:t>
            </w:r>
            <w:r/>
          </w:p>
        </w:tc>
      </w:tr>
      <w:tr>
        <w:trPr>
          <w:trHeight w:val="295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highlight w:val="none"/>
              </w:rPr>
              <w:t xml:space="preserve">Ханты-Мансийский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97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t xml:space="preserve">549,71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281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t xml:space="preserve">151,5</w:t>
            </w:r>
            <w:r/>
          </w:p>
        </w:tc>
      </w:tr>
      <w:tr>
        <w:trPr>
          <w:trHeight w:val="258"/>
        </w:trPr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Итого: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tcW w:w="297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highlight w:val="none"/>
              </w:rPr>
              <w:t xml:space="preserve">9175,61</w:t>
            </w:r>
            <w:r/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281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highlight w:val="none"/>
              </w:rPr>
              <w:t xml:space="preserve">1926</w:t>
            </w:r>
            <w:r/>
          </w:p>
        </w:tc>
      </w:tr>
    </w:tbl>
    <w:p>
      <w:pPr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22"/>
        <w:jc w:val="center"/>
        <w:spacing w:line="360" w:lineRule="auto"/>
        <w:rPr>
          <w:b/>
          <w:bCs/>
          <w:i w:val="0"/>
        </w:rPr>
        <w:suppressLineNumbers w:val="0"/>
      </w:pPr>
      <w:r>
        <w:rPr>
          <w:b/>
          <w:bCs/>
          <w:i w:val="0"/>
          <w:iCs w:val="0"/>
          <w:color w:val="auto"/>
          <w:sz w:val="28"/>
          <w:szCs w:val="28"/>
        </w:rPr>
        <w:t xml:space="preserve">Биология и тенденции к росту или сокращению численности охотничьих ресурсов.</w:t>
      </w:r>
      <w:r>
        <w:rPr>
          <w:b/>
          <w:bCs/>
          <w:i w:val="0"/>
          <w:iCs w:val="0"/>
        </w:rPr>
      </w:r>
      <w:r/>
    </w:p>
    <w:p>
      <w:pPr>
        <w:ind w:firstLine="522"/>
        <w:jc w:val="center"/>
        <w:spacing w:line="360" w:lineRule="auto"/>
        <w:rPr>
          <w:sz w:val="10"/>
          <w:szCs w:val="10"/>
        </w:rPr>
        <w:suppressLineNumbers w:val="0"/>
      </w:pPr>
      <w:r>
        <w:rPr>
          <w:sz w:val="10"/>
          <w:szCs w:val="10"/>
        </w:rPr>
      </w:r>
      <w:r/>
    </w:p>
    <w:p>
      <w:pPr>
        <w:ind w:firstLine="709"/>
        <w:jc w:val="both"/>
        <w:spacing w:line="360" w:lineRule="auto"/>
        <w:rPr>
          <w:highlight w:val="white"/>
        </w:rPr>
        <w:suppressLineNumbers w:val="0"/>
      </w:pPr>
      <w:r>
        <w:rPr>
          <w:b/>
          <w:bCs/>
          <w:sz w:val="28"/>
          <w:szCs w:val="28"/>
        </w:rPr>
        <w:t xml:space="preserve">Лось – </w:t>
      </w:r>
      <w:r>
        <w:rPr>
          <w:b/>
          <w:bCs/>
          <w:i/>
          <w:sz w:val="28"/>
          <w:szCs w:val="28"/>
          <w:lang w:val="en-US"/>
        </w:rPr>
        <w:t xml:space="preserve">Alces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 xml:space="preserve">alces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 xml:space="preserve"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Лось – широко распространённый вид таёжной зоны</w:t>
      </w:r>
      <w:r>
        <w:rPr>
          <w:sz w:val="28"/>
          <w:szCs w:val="28"/>
        </w:rPr>
        <w:t xml:space="preserve"> Западной Сибири. По лесным массивам вдоль русел рек звери проникают до южных границ тундры. Распределение лосей по территории обусловлено в основном наличием и доступностью летних и зимних кормов. Зимой лоси концентрируются на участках с большими запасами</w:t>
      </w:r>
      <w:r>
        <w:rPr>
          <w:sz w:val="28"/>
          <w:szCs w:val="28"/>
        </w:rPr>
        <w:t xml:space="preserve"> веточного корма – по ивняковым поймам лесных рек, возле зарастающих гарей, вырубок. На лето, спасаясь от гнуса, лоси откочёвывают в открытые, обдуваемые ветром места, в угодья, богатые сочными кормами: гари, вырубки, болота и в пойменные комплексы крупных</w:t>
      </w:r>
      <w:r>
        <w:rPr>
          <w:sz w:val="28"/>
          <w:szCs w:val="28"/>
        </w:rPr>
        <w:t xml:space="preserve"> рек. Питается болотными растениями, листьями, побегами, корой деревьев и кустарников. Образ жизни – одиночный или небольшими группами. При смене сезонных местообитаний животные нередко мигрируют на большие расстояния, при этом часть из них гибнет [3, 4]. </w:t>
      </w:r>
      <w:bookmarkStart w:id="2" w:name="__DdeLink__4400_1430023794"/>
      <w:r>
        <w:rPr>
          <w:sz w:val="28"/>
          <w:szCs w:val="28"/>
        </w:rPr>
        <w:t xml:space="preserve">По результатам учетных работ численность л</w:t>
      </w:r>
      <w:r>
        <w:rPr>
          <w:sz w:val="28"/>
          <w:szCs w:val="28"/>
          <w:highlight w:val="white"/>
        </w:rPr>
        <w:t xml:space="preserve">ося в </w:t>
      </w:r>
      <w:r>
        <w:rPr>
          <w:sz w:val="28"/>
          <w:szCs w:val="28"/>
          <w:highlight w:val="white"/>
        </w:rPr>
        <w:t xml:space="preserve">2024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году составила </w:t>
      </w:r>
      <w:r>
        <w:rPr>
          <w:sz w:val="28"/>
          <w:szCs w:val="28"/>
          <w:highlight w:val="white"/>
        </w:rPr>
        <w:t xml:space="preserve">–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26183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осо</w:t>
      </w:r>
      <w:r>
        <w:rPr>
          <w:color w:val="000000"/>
          <w:sz w:val="28"/>
          <w:szCs w:val="28"/>
          <w:highlight w:val="white"/>
        </w:rPr>
        <w:t xml:space="preserve">би.</w:t>
      </w:r>
      <w:bookmarkEnd w:id="2"/>
      <w:r>
        <w:rPr>
          <w:sz w:val="28"/>
          <w:szCs w:val="28"/>
          <w:highlight w:val="white"/>
        </w:rPr>
        <w:t xml:space="preserve"> Динамика изменения численности (рис. 1).</w:t>
      </w:r>
      <w:r>
        <w:rPr>
          <w:highlight w:val="white"/>
        </w:rPr>
      </w:r>
      <w:r/>
    </w:p>
    <w:p>
      <w:pPr>
        <w:ind w:firstLine="709"/>
        <w:jc w:val="both"/>
        <w:spacing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Лось является важным промысловым видом. Этот зверь исконно был одним из основных объектов охоты у </w:t>
      </w:r>
      <w:r>
        <w:rPr>
          <w:sz w:val="28"/>
          <w:szCs w:val="28"/>
        </w:rPr>
        <w:t xml:space="preserve">хантов</w:t>
      </w:r>
      <w:r>
        <w:rPr>
          <w:sz w:val="28"/>
          <w:szCs w:val="28"/>
        </w:rPr>
        <w:t xml:space="preserve"> и в значительной степени определял благополучие аборигенн</w:t>
      </w:r>
      <w:r>
        <w:rPr>
          <w:sz w:val="28"/>
          <w:szCs w:val="28"/>
        </w:rPr>
        <w:t xml:space="preserve">ого населения. В прошлом ханты охотились на лося и северного оленя, как правило, коллективно, добычу делили по числу участников. Иногда на миграционных путях в местах сужения лесных массивов среди болот охотники ставили изгороди и сооружали самострелы </w:t>
      </w:r>
      <w:r>
        <w:rPr>
          <w:sz w:val="28"/>
          <w:szCs w:val="28"/>
        </w:rPr>
        <w:t xml:space="preserve">[3</w:t>
      </w:r>
      <w:r>
        <w:rPr>
          <w:sz w:val="28"/>
          <w:szCs w:val="28"/>
        </w:rPr>
        <w:t xml:space="preserve">].</w:t>
      </w:r>
      <w:r/>
    </w:p>
    <w:p>
      <w:pPr>
        <w:jc w:val="center"/>
        <w:rPr>
          <w:b/>
          <w:sz w:val="10"/>
          <w:szCs w:val="10"/>
        </w:rPr>
      </w:pPr>
      <w:r>
        <w:rPr>
          <w:b/>
          <w:sz w:val="10"/>
          <w:szCs w:val="10"/>
        </w:rPr>
      </w:r>
      <w:r/>
    </w:p>
    <w:p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Лось</w:t>
      </w:r>
      <w:r>
        <w:rPr>
          <w:highlight w:val="white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  <w:highlight w:val="none"/>
        </w:rPr>
        <w:drawing>
          <wp:inline distT="0" distB="0" distL="0" distR="0">
            <wp:extent cx="5901069" cy="3413051"/>
            <wp:effectExtent l="4762" t="4762" r="4762" b="4762"/>
            <wp:docPr id="1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/>
    </w:p>
    <w:p>
      <w:pPr>
        <w:pStyle w:val="938"/>
        <w:ind w:firstLine="709"/>
        <w:spacing w:line="360" w:lineRule="auto"/>
        <w:suppressLineNumbers w:val="0"/>
      </w:pPr>
      <w:r>
        <w:t xml:space="preserve">Рис. 1. Динамика численности лося за 2011 – 2024 гг., </w:t>
      </w:r>
      <w:r>
        <w:t xml:space="preserve">особ</w:t>
      </w:r>
      <w:r>
        <w:t xml:space="preserve">ей</w:t>
      </w:r>
      <w:r/>
    </w:p>
    <w:p>
      <w:pPr>
        <w:contextualSpacing/>
        <w:ind w:firstLine="709"/>
        <w:jc w:val="both"/>
        <w:spacing w:line="360" w:lineRule="auto"/>
        <w:suppressLineNumbers w:val="0"/>
      </w:pPr>
      <w:r>
        <w:rPr>
          <w:sz w:val="28"/>
          <w:szCs w:val="28"/>
        </w:rPr>
        <w:t xml:space="preserve">В настоящее время в связи с интенсивным освоением ископаемых ресурсов в регионе резко возрос приток людей, в результате пресс охоты на лося значительно увеличился. Зачастую зверей </w:t>
      </w:r>
      <w:r>
        <w:rPr>
          <w:sz w:val="28"/>
          <w:szCs w:val="28"/>
        </w:rPr>
        <w:t xml:space="preserve">не санкционированно</w:t>
      </w:r>
      <w:r>
        <w:rPr>
          <w:sz w:val="28"/>
          <w:szCs w:val="28"/>
        </w:rPr>
        <w:t xml:space="preserve"> отстреливают как при случайных встречах, так и целенаправленно преследуют их с использованием авиации, вездеходной техники и автотранспорта, иногда добывают с помощью петель, установленных на путях миграций животных.</w:t>
      </w:r>
      <w:r/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  <w:suppressLineNumbers w:val="0"/>
      </w:pPr>
      <w:r>
        <w:rPr>
          <w:b/>
          <w:bCs/>
          <w:sz w:val="28"/>
          <w:szCs w:val="28"/>
        </w:rPr>
        <w:t xml:space="preserve">Бурый медведь – </w:t>
      </w:r>
      <w:r>
        <w:rPr>
          <w:b/>
          <w:bCs/>
          <w:i/>
          <w:sz w:val="28"/>
          <w:szCs w:val="28"/>
          <w:lang w:val="en-US"/>
        </w:rPr>
        <w:t xml:space="preserve">Ursus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 xml:space="preserve">arctos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 xml:space="preserve"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Обычный немногочисленный вид. Один из наиболее крупных млекопитающих региона. По территории Ханты-Мансийского автономного округа - Югры </w:t>
      </w:r>
      <w:r>
        <w:rPr>
          <w:sz w:val="28"/>
          <w:szCs w:val="28"/>
        </w:rPr>
        <w:t xml:space="preserve">распространён</w:t>
      </w:r>
      <w:r>
        <w:rPr>
          <w:sz w:val="28"/>
          <w:szCs w:val="28"/>
        </w:rPr>
        <w:t xml:space="preserve"> повсеместно. Наиболее </w:t>
      </w:r>
      <w:r>
        <w:rPr>
          <w:sz w:val="28"/>
          <w:szCs w:val="28"/>
        </w:rPr>
        <w:t xml:space="preserve">пригодными угодьями для обитания медведя являются темнохвойные леса с присутствием ке</w:t>
      </w:r>
      <w:r>
        <w:rPr>
          <w:sz w:val="28"/>
          <w:szCs w:val="28"/>
        </w:rPr>
        <w:t xml:space="preserve">дра и ягодников, а также наличием мест для устройства берлог. Главное требование животных к местам обитания в период активной жизни – обилие пищи. Особенно важно наличие её весной – со времени выхода из берлоги до появления первой зелени, а также в период </w:t>
      </w:r>
      <w:r>
        <w:rPr>
          <w:sz w:val="28"/>
          <w:szCs w:val="28"/>
        </w:rPr>
        <w:t xml:space="preserve">нажировки</w:t>
      </w:r>
      <w:r>
        <w:rPr>
          <w:sz w:val="28"/>
          <w:szCs w:val="28"/>
        </w:rPr>
        <w:t xml:space="preserve"> перед з</w:t>
      </w:r>
      <w:r>
        <w:rPr>
          <w:sz w:val="28"/>
          <w:szCs w:val="28"/>
        </w:rPr>
        <w:t xml:space="preserve">алеганием в берлогу. Встречается медведь и на болотах, используя их в качестве кормовых стаций. Ведёт в основном одиночный образ жизни. Врагов у медведя, кроме человека, практически нет. Среди естественных растительных кормов главное место занимают ягоды, </w:t>
      </w:r>
      <w:r>
        <w:rPr>
          <w:sz w:val="28"/>
          <w:szCs w:val="28"/>
        </w:rPr>
        <w:t xml:space="preserve">кедровые орехи, листья, стебли, корневища и клубни травянистых растений. Из животных кормов значительная роль принадлежит насекомым и их личинкам. Медведь может ловить мелких млекопитающих и птиц. При недостатке кормов хищники нападают на лосей и северных </w:t>
      </w:r>
      <w:r>
        <w:rPr>
          <w:sz w:val="28"/>
          <w:szCs w:val="28"/>
        </w:rPr>
        <w:t xml:space="preserve">оленей, подбирают падаль. Разобщенность участков, удобных для устройства берлог, и мест, наиболее пригодных для летнего обитания, служит основной причиной сезонных перемещений медведей по территории. Это обстоятельство отрицательно влияет как на выживаемос</w:t>
      </w:r>
      <w:r>
        <w:rPr>
          <w:sz w:val="28"/>
          <w:szCs w:val="28"/>
        </w:rPr>
        <w:t xml:space="preserve">ть молодняка, так и на численность взрослых зверей. Весной, после выхода из берлог, медведи из лесных массивов перемещаются к открытым местам, где быстрее разрушается снеговой покров. Здесь звери более уязвимы и нередко попадают под выстрел охотников [1]. </w:t>
      </w:r>
      <w:r/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Численность медведя в округе в настоящее время оценивается в</w:t>
      </w:r>
      <w:r>
        <w:rPr>
          <w:color w:val="ce181e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highlight w:val="white"/>
        </w:rPr>
        <w:t xml:space="preserve">7</w:t>
      </w:r>
      <w:r>
        <w:rPr>
          <w:b/>
          <w:bCs/>
          <w:color w:val="000000"/>
          <w:sz w:val="28"/>
          <w:szCs w:val="28"/>
          <w:highlight w:val="white"/>
        </w:rPr>
        <w:t xml:space="preserve">644 </w:t>
      </w:r>
      <w:r>
        <w:rPr>
          <w:color w:val="000000"/>
          <w:sz w:val="28"/>
          <w:szCs w:val="28"/>
        </w:rPr>
        <w:t xml:space="preserve">особей</w:t>
      </w:r>
      <w:r>
        <w:rPr>
          <w:sz w:val="28"/>
          <w:szCs w:val="28"/>
        </w:rPr>
        <w:t xml:space="preserve"> (рис.2). Важным фактором воздей</w:t>
      </w:r>
      <w:r>
        <w:rPr>
          <w:sz w:val="28"/>
          <w:szCs w:val="28"/>
        </w:rPr>
        <w:t xml:space="preserve">ствия на численность зверей является антропогенное преобразование среды обитания, приводящее к сокращению пригодных для жизни территорий. Основные факторы, сдерживающие рост численности медведя – низкие темпы воспроизводства и высокая смертность молодняка.</w:t>
      </w:r>
      <w:r>
        <w:rPr>
          <w:sz w:val="28"/>
          <w:szCs w:val="28"/>
        </w:rPr>
      </w:r>
      <w:r/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ind w:firstLine="708"/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Мед</w:t>
      </w:r>
      <w:r>
        <w:rPr>
          <w:b/>
          <w:sz w:val="28"/>
          <w:szCs w:val="28"/>
          <w:highlight w:val="white"/>
        </w:rPr>
        <w:t xml:space="preserve">ведь</w:t>
      </w:r>
      <w:r>
        <w:rPr>
          <w:highlight w:val="white"/>
        </w:rPr>
      </w:r>
      <w:r/>
    </w:p>
    <w:p>
      <w:pPr>
        <w:ind w:firstLine="708"/>
        <w:jc w:val="center"/>
        <w:rPr>
          <w:b/>
        </w:rPr>
      </w:pPr>
      <w:r>
        <w:rPr>
          <w:b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drawing>
          <wp:inline distT="0" distB="0" distL="0" distR="0">
            <wp:extent cx="5901066" cy="3211029"/>
            <wp:effectExtent l="4762" t="4762" r="4762" b="4762"/>
            <wp:docPr id="2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Рис. 2 Динамика численности бурого медведя за 2011 – 2023</w:t>
      </w:r>
      <w:r>
        <w:rPr>
          <w:b/>
          <w:bCs/>
          <w:color w:val="000000"/>
          <w:sz w:val="28"/>
          <w:szCs w:val="28"/>
        </w:rPr>
        <w:t xml:space="preserve"> гг., особей.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spacing w:line="360" w:lineRule="auto"/>
        <w:suppressLineNumbers w:val="0"/>
      </w:pPr>
      <w:r>
        <w:rPr>
          <w:sz w:val="28"/>
          <w:szCs w:val="28"/>
        </w:rPr>
        <w:t xml:space="preserve">Медведь, самый крупный хищник тайги, имеет важное хозяйственное значение. У </w:t>
      </w:r>
      <w:r>
        <w:rPr>
          <w:sz w:val="28"/>
          <w:szCs w:val="28"/>
        </w:rPr>
        <w:t xml:space="preserve">хантов</w:t>
      </w:r>
      <w:r>
        <w:rPr>
          <w:sz w:val="28"/>
          <w:szCs w:val="28"/>
        </w:rPr>
        <w:t xml:space="preserve"> этот зверь считается священным животным. В прошлом добыча его обычно была результатом коллективной охоты и сопровождалась ритуальным праздником. В настоящее время основные мотивы охоты на этого зверя – получение трофейной шкуры и ценно</w:t>
      </w:r>
      <w:r>
        <w:rPr>
          <w:sz w:val="28"/>
          <w:szCs w:val="28"/>
        </w:rPr>
        <w:t xml:space="preserve">й мясной продукции. С целью исключения заражения людей трихинеллёзом мясо должно обязательно проходить ветеринарную экспертизу. Лекарственное значение имеют жир и желчь медведя. Высоко ценятся медвежьи шкуры, которые в заготовки, как правило, не поступают.</w:t>
      </w:r>
      <w:r/>
    </w:p>
    <w:p>
      <w:pPr>
        <w:ind w:firstLine="709"/>
        <w:jc w:val="both"/>
        <w:spacing w:line="360" w:lineRule="auto"/>
        <w:suppressLineNumbers w:val="0"/>
      </w:pPr>
      <w:r>
        <w:rPr>
          <w:sz w:val="28"/>
          <w:szCs w:val="28"/>
        </w:rPr>
        <w:t xml:space="preserve">Современное воздействие человека на популяцию медведя в районах промышленного освоения угодий существенно.  В целом же добыча медведя чаще носит случайный характер.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  <w:suppressLineNumbers w:val="0"/>
      </w:pPr>
      <w:r>
        <w:rPr>
          <w:b/>
          <w:bCs/>
          <w:sz w:val="28"/>
          <w:szCs w:val="28"/>
        </w:rPr>
        <w:t xml:space="preserve">Выдра – </w:t>
      </w:r>
      <w:r>
        <w:rPr>
          <w:b/>
          <w:bCs/>
          <w:i/>
          <w:sz w:val="28"/>
          <w:szCs w:val="28"/>
          <w:lang w:val="en-US"/>
        </w:rPr>
        <w:t xml:space="preserve">Lutra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 xml:space="preserve">lutra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 xml:space="preserve"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Немногочисленный, широко распространённый, ценный пушной вид. Встречается во всех районах округа на большинстве притоков Оби и Иртыша первого и второго порядков. Для выдры очень важен </w:t>
      </w:r>
      <w:r>
        <w:rPr>
          <w:sz w:val="28"/>
          <w:szCs w:val="28"/>
        </w:rPr>
        <w:t xml:space="preserve">характер берегов, где она делает выводковые норы и находит защиту от врагов. Предпочитает лесные реки с обрывистыми, сильно </w:t>
      </w:r>
      <w:r>
        <w:rPr>
          <w:sz w:val="28"/>
          <w:szCs w:val="28"/>
        </w:rPr>
        <w:t xml:space="preserve">захламлёнными</w:t>
      </w:r>
      <w:r>
        <w:rPr>
          <w:sz w:val="28"/>
          <w:szCs w:val="28"/>
        </w:rPr>
        <w:t xml:space="preserve"> берегами и извилистым руслом, изобилующим завалами подмытых водой деревьев. Для существования зимой выдре необходимы полыньи, промоины, продухи, пустоты подо льдом, образующиеся при зим</w:t>
      </w:r>
      <w:r>
        <w:rPr>
          <w:sz w:val="28"/>
          <w:szCs w:val="28"/>
        </w:rPr>
        <w:t xml:space="preserve">нем спаде воды. Это даёт ей возможность беспрепятственно проникать в воду и добывать там пищу. Наледи и сплошное промерзание водоёмов делает их непригодными для обитания зверей. Реже встречается по берегам крупных проточных озёр и межозёрным протокам. На б</w:t>
      </w:r>
      <w:r>
        <w:rPr>
          <w:sz w:val="28"/>
          <w:szCs w:val="28"/>
        </w:rPr>
        <w:t xml:space="preserve">ольших реках звери чаще появляются во время расселения по территории. Загрязнение рек нефтепродуктами приводит к исчезновению рыбы – хищник лишается кормовой базы и покидает их. В питании выдры преобладают позвоночные животные, прежде всего рыба. Наличие «</w:t>
      </w:r>
      <w:r>
        <w:rPr>
          <w:sz w:val="28"/>
          <w:szCs w:val="28"/>
        </w:rPr>
        <w:t xml:space="preserve">живунов</w:t>
      </w:r>
      <w:r>
        <w:rPr>
          <w:sz w:val="28"/>
          <w:szCs w:val="28"/>
        </w:rPr>
        <w:t xml:space="preserve">» на таёжных реках в зимнее время, которое обуславливает концентрацию рыбы, обеспечивает обилие и доступность корма для хищника. Лягушки, птицы, мелкие млекопитающие и беспозвоночные занимают важное место, но потребление их имеет сезонный характер. </w:t>
      </w:r>
      <w:r>
        <w:rPr>
          <w:sz w:val="28"/>
          <w:szCs w:val="28"/>
        </w:rPr>
        <w:t xml:space="preserve">На численности выдры отрицательно сказывается</w:t>
      </w:r>
      <w:r>
        <w:rPr>
          <w:sz w:val="28"/>
          <w:szCs w:val="28"/>
        </w:rPr>
        <w:t xml:space="preserve"> хозяйственная деятельность человека: вырубка прибрежных лесов, зарегулирование речного стока, загрязнение воды, приводящее к сокращению рыбных запасов в водоёмах, браконьерство [1]. По результатам учетных работ численность выдр</w:t>
      </w:r>
      <w:r>
        <w:rPr>
          <w:sz w:val="28"/>
          <w:szCs w:val="28"/>
          <w:highlight w:val="white"/>
        </w:rPr>
        <w:t xml:space="preserve">ы</w:t>
      </w:r>
      <w:r>
        <w:rPr>
          <w:sz w:val="28"/>
          <w:szCs w:val="28"/>
          <w:highlight w:val="white"/>
        </w:rPr>
        <w:t xml:space="preserve"> в </w:t>
      </w:r>
      <w:r>
        <w:rPr>
          <w:sz w:val="28"/>
          <w:szCs w:val="28"/>
          <w:highlight w:val="white"/>
        </w:rPr>
        <w:t xml:space="preserve">202</w:t>
      </w:r>
      <w:r>
        <w:rPr>
          <w:sz w:val="28"/>
          <w:szCs w:val="28"/>
          <w:highlight w:val="white"/>
        </w:rPr>
        <w:t xml:space="preserve">3 году составила - </w:t>
      </w:r>
      <w:r>
        <w:rPr>
          <w:b/>
          <w:bCs/>
          <w:sz w:val="28"/>
          <w:szCs w:val="28"/>
          <w:highlight w:val="white"/>
        </w:rPr>
        <w:t xml:space="preserve">2718 </w:t>
      </w:r>
      <w:r>
        <w:rPr>
          <w:sz w:val="28"/>
          <w:szCs w:val="28"/>
          <w:highlight w:val="white"/>
        </w:rPr>
        <w:t xml:space="preserve">особей. </w:t>
      </w:r>
      <w:r>
        <w:rPr>
          <w:sz w:val="28"/>
          <w:szCs w:val="28"/>
          <w:highlight w:val="white"/>
        </w:rPr>
        <w:t xml:space="preserve">Динамика численности выдры за последние </w:t>
      </w:r>
      <w:r>
        <w:rPr>
          <w:sz w:val="28"/>
          <w:szCs w:val="28"/>
          <w:highlight w:val="white"/>
        </w:rPr>
        <w:t xml:space="preserve">13 ле</w:t>
      </w:r>
      <w:r>
        <w:rPr>
          <w:sz w:val="28"/>
          <w:szCs w:val="28"/>
          <w:highlight w:val="white"/>
        </w:rPr>
        <w:t xml:space="preserve">т (рис. </w:t>
      </w:r>
      <w:r>
        <w:rPr>
          <w:sz w:val="28"/>
          <w:szCs w:val="28"/>
        </w:rPr>
        <w:t xml:space="preserve">3)</w:t>
      </w:r>
      <w:r>
        <w:rPr>
          <w:sz w:val="28"/>
          <w:szCs w:val="28"/>
        </w:rPr>
      </w:r>
      <w:r/>
    </w:p>
    <w:p>
      <w:pPr>
        <w:ind w:firstLine="0"/>
        <w:jc w:val="both"/>
        <w:spacing w:line="360" w:lineRule="auto"/>
        <w:rPr>
          <w:sz w:val="10"/>
          <w:szCs w:val="10"/>
        </w:rPr>
      </w:pPr>
      <w:r>
        <w:rPr>
          <w:sz w:val="10"/>
          <w:szCs w:val="10"/>
        </w:rPr>
      </w:r>
      <w:r/>
    </w:p>
    <w:p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Выдра</w:t>
      </w:r>
      <w:r/>
    </w:p>
    <w:p>
      <w:pPr>
        <w:ind w:firstLine="708"/>
        <w:jc w:val="both"/>
        <w:rPr>
          <w:sz w:val="10"/>
          <w:szCs w:val="10"/>
        </w:rPr>
      </w:pPr>
      <w:r>
        <w:rPr>
          <w:sz w:val="10"/>
          <w:szCs w:val="10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  <w:highlight w:val="none"/>
        </w:rPr>
        <w:drawing>
          <wp:inline distT="0" distB="0" distL="0" distR="0">
            <wp:extent cx="5677783" cy="2275366"/>
            <wp:effectExtent l="4762" t="4762" r="4762" b="4762"/>
            <wp:docPr id="3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/>
    </w:p>
    <w:p>
      <w:pPr>
        <w:pStyle w:val="938"/>
      </w:pPr>
      <w:r>
        <w:t xml:space="preserve">Рис. 3. Динамика численности выдры за 2011 – 2023</w:t>
      </w:r>
      <w:r>
        <w:t xml:space="preserve"> гг., шт.</w:t>
      </w:r>
      <w:r/>
    </w:p>
    <w:p>
      <w:pPr>
        <w:ind w:firstLine="709"/>
        <w:jc w:val="both"/>
        <w:spacing w:line="360" w:lineRule="auto"/>
        <w:suppressLineNumbers w:val="0"/>
      </w:pPr>
      <w:r>
        <w:rPr>
          <w:sz w:val="28"/>
          <w:szCs w:val="28"/>
        </w:rPr>
        <w:t xml:space="preserve">Мех выдры высоко ценится, и роль её как пушного вида в регионе была существенна. В настоящее время в заготовки шкурки практически не поступают. Коренные жители используют мех выдры при изготовлении национальной одежды.</w:t>
      </w:r>
      <w:r/>
    </w:p>
    <w:p>
      <w:pPr>
        <w:ind w:firstLine="709"/>
        <w:jc w:val="both"/>
        <w:spacing w:line="360" w:lineRule="auto"/>
        <w:rPr>
          <w:highlight w:val="white"/>
        </w:rPr>
        <w:suppressLineNumbers w:val="0"/>
      </w:pPr>
      <w:r>
        <w:rPr>
          <w:b/>
          <w:bCs/>
          <w:sz w:val="28"/>
          <w:szCs w:val="28"/>
        </w:rPr>
        <w:t xml:space="preserve">Барсук – </w:t>
      </w:r>
      <w:r>
        <w:rPr>
          <w:b/>
          <w:bCs/>
          <w:i/>
          <w:sz w:val="28"/>
          <w:szCs w:val="28"/>
          <w:lang w:val="en-US"/>
        </w:rPr>
        <w:t xml:space="preserve">Meles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 xml:space="preserve">Leucurus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 xml:space="preserve"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Редкий вид. Северная граница ареала вида в Западной Сибири примерно проходит по линии п. Берёзово – верховья </w:t>
      </w:r>
      <w:r>
        <w:rPr>
          <w:sz w:val="28"/>
          <w:szCs w:val="28"/>
        </w:rPr>
        <w:t xml:space="preserve">рр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Пура</w:t>
      </w:r>
      <w:r>
        <w:rPr>
          <w:sz w:val="28"/>
          <w:szCs w:val="28"/>
        </w:rPr>
        <w:t xml:space="preserve"> и Таза. Распространение барсука на север определяется уровнем залегания вечной мерзлоты. В условиях Ханты-Мансийского автономного округа барсук проявляет по отношению к местам</w:t>
      </w:r>
      <w:r>
        <w:rPr>
          <w:sz w:val="28"/>
          <w:szCs w:val="28"/>
        </w:rPr>
        <w:t xml:space="preserve"> обитания значительную пластичность. В основном это лесной зверь, придерживающийся опушек, островов леса, перелесков и лесистых логов. Крупных лесных массивов барсук избегает. В пойменных угодьях крупных рек барсуки селятся по незатопляемым облесённым или </w:t>
      </w:r>
      <w:r>
        <w:rPr>
          <w:sz w:val="28"/>
          <w:szCs w:val="28"/>
        </w:rPr>
        <w:t xml:space="preserve">закустаренным</w:t>
      </w:r>
      <w:r>
        <w:rPr>
          <w:sz w:val="28"/>
          <w:szCs w:val="28"/>
        </w:rPr>
        <w:t xml:space="preserve"> гривам. И. П. Лаптев оценивал плотность населения барсука в пойменно-прирусловых участках как среднюю, а в таёжных массивах – как низкую. Активен барсук преимущественно в сумеречное вр</w:t>
      </w:r>
      <w:r>
        <w:rPr>
          <w:sz w:val="28"/>
          <w:szCs w:val="28"/>
        </w:rPr>
        <w:t xml:space="preserve">емя. Отличается всеядностью: пищу барсука составляют мышевидные грызуны, земноводные, пресмыкающиеся, насекомые и их личинки, моллюски, земляные черви, изредка ловит мелких птиц. Зверь потребляет орехи, ягоды и другие растительные корма. Барсук – животное </w:t>
      </w:r>
      <w:r>
        <w:rPr>
          <w:sz w:val="28"/>
          <w:szCs w:val="28"/>
        </w:rPr>
        <w:t xml:space="preserve">зимоспящее</w:t>
      </w:r>
      <w:r>
        <w:rPr>
          <w:sz w:val="28"/>
          <w:szCs w:val="28"/>
        </w:rPr>
        <w:t xml:space="preserve">, типичный </w:t>
      </w:r>
      <w:r>
        <w:rPr>
          <w:sz w:val="28"/>
          <w:szCs w:val="28"/>
        </w:rPr>
        <w:t xml:space="preserve">норник</w:t>
      </w:r>
      <w:r>
        <w:rPr>
          <w:sz w:val="28"/>
          <w:szCs w:val="28"/>
        </w:rPr>
        <w:t xml:space="preserve">, поэтому главным лимитирующим </w:t>
      </w:r>
      <w:r>
        <w:rPr>
          <w:sz w:val="28"/>
          <w:szCs w:val="28"/>
        </w:rPr>
        <w:t xml:space="preserve">фактором в его распространении и численности является наличие удобных для </w:t>
      </w:r>
      <w:r>
        <w:rPr>
          <w:sz w:val="28"/>
          <w:szCs w:val="28"/>
        </w:rPr>
        <w:t xml:space="preserve">норения</w:t>
      </w:r>
      <w:r>
        <w:rPr>
          <w:sz w:val="28"/>
          <w:szCs w:val="28"/>
        </w:rPr>
        <w:t xml:space="preserve"> мест, и, в частности, подходящий субстрат — «лёгкие» почвы. Второе условие, определяющее местоположение нор – это близость водопоев. Имеет значение суровость и продолжительность зимы. Старые поселения – «городки» – возн</w:t>
      </w:r>
      <w:r>
        <w:rPr>
          <w:sz w:val="28"/>
          <w:szCs w:val="28"/>
        </w:rPr>
        <w:t xml:space="preserve">икают в результате деятельности многих поколений, иногда занимают площадь более гектара и имеют десятки выходов. В заброшенных норах часто поселяются лисицы и другие звери. Численность зверей зависит от обилия пищи, возможности устройства нор и близости к </w:t>
      </w:r>
      <w:r>
        <w:rPr>
          <w:sz w:val="28"/>
          <w:szCs w:val="28"/>
        </w:rPr>
        <w:t xml:space="preserve">ним водоёмов. Во многих местах численность барсука сокращается в результате прямого истребления, часто сопровождающегося раскопкой нор. Нарушение поселения, как правило, </w:t>
      </w:r>
      <w:r>
        <w:rPr>
          <w:sz w:val="28"/>
          <w:szCs w:val="28"/>
          <w:highlight w:val="white"/>
        </w:rPr>
        <w:t xml:space="preserve">приводит к его уничтожению [1]. По результатам учетных работ численность барс</w:t>
      </w:r>
      <w:r>
        <w:rPr>
          <w:sz w:val="28"/>
          <w:szCs w:val="28"/>
          <w:highlight w:val="white"/>
        </w:rPr>
        <w:t xml:space="preserve">ука в 2023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году составила -</w:t>
      </w:r>
      <w:r>
        <w:rPr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3476 </w:t>
      </w:r>
      <w:r>
        <w:rPr>
          <w:sz w:val="28"/>
          <w:szCs w:val="28"/>
          <w:highlight w:val="white"/>
        </w:rPr>
        <w:t xml:space="preserve">особей.</w:t>
      </w:r>
      <w:r>
        <w:rPr>
          <w:highlight w:val="white"/>
        </w:rPr>
      </w:r>
      <w:r/>
    </w:p>
    <w:p>
      <w:pPr>
        <w:ind w:firstLine="709"/>
        <w:jc w:val="both"/>
        <w:spacing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Динамика численности данного вида представлена на графике                  (рис. 4).</w:t>
      </w:r>
      <w:r/>
    </w:p>
    <w:p>
      <w:pPr>
        <w:ind w:firstLine="567"/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Барсук</w:t>
      </w:r>
      <w:r>
        <w:rPr>
          <w:highlight w:val="white"/>
        </w:rPr>
      </w:r>
      <w:r/>
    </w:p>
    <w:p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sz w:val="28"/>
          <w:szCs w:val="28"/>
          <w:highlight w:val="none"/>
        </w:rPr>
        <w:drawing>
          <wp:inline distT="0" distB="0" distL="0" distR="0">
            <wp:extent cx="5677781" cy="2775093"/>
            <wp:effectExtent l="4762" t="4762" r="4762" b="4762"/>
            <wp:docPr id="4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/>
    </w:p>
    <w:p>
      <w:pPr>
        <w:pStyle w:val="938"/>
        <w:ind w:left="0" w:right="0" w:firstLine="425"/>
        <w:jc w:val="center"/>
      </w:pPr>
      <w:r>
        <w:rPr>
          <w:color w:val="000000"/>
        </w:rPr>
        <w:t xml:space="preserve">Рис. 4 Динамика численности барсука за 2011 – 202</w:t>
      </w:r>
      <w:r>
        <w:rPr>
          <w:color w:val="000000"/>
          <w:highlight w:val="none"/>
        </w:rPr>
        <w:t xml:space="preserve">3</w:t>
      </w:r>
      <w:r>
        <w:rPr>
          <w:color w:val="000000"/>
        </w:rPr>
        <w:t xml:space="preserve"> гг., шт.</w:t>
      </w:r>
      <w:r/>
    </w:p>
    <w:p>
      <w:pPr>
        <w:ind w:firstLine="709"/>
        <w:jc w:val="both"/>
        <w:spacing w:line="360" w:lineRule="auto"/>
        <w:suppressLineNumbers w:val="0"/>
      </w:pPr>
      <w:r>
        <w:rPr>
          <w:sz w:val="28"/>
          <w:szCs w:val="28"/>
        </w:rPr>
        <w:t xml:space="preserve">Барсук – промысловый вид, но значение его в охотничьем хозяйстве из-за общей низкой численности и мозаичного распространения невелико. Наиболее ценен у барсука целебный жир, используются также мясо и шкура.</w:t>
      </w:r>
      <w:r/>
    </w:p>
    <w:p>
      <w:pPr>
        <w:ind w:firstLine="709"/>
        <w:spacing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/>
    </w:p>
    <w:p>
      <w:pPr>
        <w:ind w:firstLine="709"/>
        <w:jc w:val="both"/>
        <w:spacing w:line="360" w:lineRule="auto"/>
        <w:rPr>
          <w:sz w:val="28"/>
          <w:szCs w:val="28"/>
        </w:rPr>
        <w:suppressLineNumbers w:val="0"/>
      </w:pPr>
      <w:r>
        <w:rPr>
          <w:b/>
          <w:bCs/>
          <w:sz w:val="28"/>
          <w:szCs w:val="28"/>
        </w:rPr>
        <w:t xml:space="preserve">Соболь – </w:t>
      </w:r>
      <w:r>
        <w:rPr>
          <w:b/>
          <w:bCs/>
          <w:i/>
          <w:sz w:val="28"/>
          <w:szCs w:val="28"/>
          <w:lang w:val="en-US"/>
        </w:rPr>
        <w:t xml:space="preserve">Martes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 xml:space="preserve">zibellina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 xml:space="preserve"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Широко распространённый вид. Соболь, обитающий на территории Западной Сибири (от Урала до водораздела Оби с Енисеем), относится к тобольскому подвиду. В результате </w:t>
      </w:r>
      <w:r>
        <w:rPr>
          <w:sz w:val="28"/>
          <w:szCs w:val="28"/>
        </w:rPr>
        <w:t xml:space="preserve">перепромысла</w:t>
      </w:r>
      <w:r>
        <w:rPr>
          <w:sz w:val="28"/>
          <w:szCs w:val="28"/>
        </w:rPr>
        <w:t xml:space="preserve"> в начале </w:t>
      </w:r>
      <w:r>
        <w:rPr>
          <w:sz w:val="28"/>
          <w:szCs w:val="28"/>
          <w:lang w:val="en-US"/>
        </w:rPr>
        <w:t xml:space="preserve">XX</w:t>
      </w:r>
      <w:r>
        <w:rPr>
          <w:sz w:val="28"/>
          <w:szCs w:val="28"/>
        </w:rPr>
        <w:t xml:space="preserve"> столетия вид в регионе, как и в целом по ареалу, сохранялся лишь небольшими изолированными очагами в труднодоступных угодьях. Одними из таких очагов были верховья </w:t>
      </w:r>
      <w:r>
        <w:rPr>
          <w:sz w:val="28"/>
          <w:szCs w:val="28"/>
          <w:lang w:val="en-US"/>
        </w:rPr>
        <w:t xml:space="preserve">pp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Салым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Юган</w:t>
      </w:r>
      <w:r>
        <w:rPr>
          <w:sz w:val="28"/>
          <w:szCs w:val="28"/>
        </w:rPr>
        <w:t xml:space="preserve"> и Демьянка. </w:t>
      </w:r>
      <w:r>
        <w:rPr>
          <w:sz w:val="28"/>
          <w:szCs w:val="28"/>
        </w:rPr>
        <w:t xml:space="preserve">В восстановлении ареала соболя в Западной Сибири основную роль сыграли местный запрет его добычи в 1926-1931 гг. и общесоюзный запрет 1936-1940 гг. Способствовали этому и организация в 1927 г. </w:t>
      </w:r>
      <w:r>
        <w:rPr>
          <w:sz w:val="28"/>
          <w:szCs w:val="28"/>
        </w:rPr>
        <w:t xml:space="preserve">Кондо-Сосьвинского</w:t>
      </w:r>
      <w:r>
        <w:rPr>
          <w:sz w:val="28"/>
          <w:szCs w:val="28"/>
        </w:rPr>
        <w:t xml:space="preserve"> заповедника и создание </w:t>
      </w:r>
      <w:r>
        <w:rPr>
          <w:sz w:val="28"/>
          <w:szCs w:val="28"/>
        </w:rPr>
        <w:t xml:space="preserve">Лядвинского</w:t>
      </w:r>
      <w:r>
        <w:rPr>
          <w:sz w:val="28"/>
          <w:szCs w:val="28"/>
        </w:rPr>
        <w:t xml:space="preserve"> соболиного заказника, строгое </w:t>
      </w:r>
      <w:r>
        <w:rPr>
          <w:sz w:val="28"/>
          <w:szCs w:val="28"/>
        </w:rPr>
        <w:t xml:space="preserve">лимитирование</w:t>
      </w:r>
      <w:r>
        <w:rPr>
          <w:sz w:val="28"/>
          <w:szCs w:val="28"/>
        </w:rPr>
        <w:t xml:space="preserve"> промысла, практиковавшееся с 1941 г., а также сокращение сроков охоты и запрещение некоторых истребительных способов его добычи.</w:t>
      </w:r>
      <w:r>
        <w:rPr>
          <w:sz w:val="28"/>
          <w:szCs w:val="28"/>
        </w:rPr>
        <w:t xml:space="preserve">                                        На возрождение запасов соболя были затрачены огромные государственные средства, выполнены большие работы по расселению аборигенных соболей </w:t>
      </w:r>
      <w:r>
        <w:rPr>
          <w:sz w:val="28"/>
          <w:szCs w:val="28"/>
        </w:rPr>
        <w:t xml:space="preserve">и завозу зверей из других регионов. В Западной Сибири соболь был восстановлен на базе очень незначительного количества уцелевших местных очагов и выпуска более полутысячи зверей, которых завозили из Бурятии и Иркутской области в 1952-1959 гг. Их выпускали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Ханты-Мансийском</w:t>
      </w:r>
      <w:r>
        <w:rPr>
          <w:sz w:val="28"/>
          <w:szCs w:val="28"/>
        </w:rPr>
        <w:t xml:space="preserve"> национальном округе. Соболь здесь широко расселился, и уже во второй половине 1960-х гг. произошло восстановление его ареала. Современный ареал соболя в регионе в значительной степени совпадает с границей распространения</w:t>
      </w:r>
      <w:r>
        <w:rPr>
          <w:sz w:val="28"/>
          <w:szCs w:val="28"/>
        </w:rPr>
        <w:t xml:space="preserve"> лесов. Лучшими для соболя являются кедровые и елово-кедровые насаждения. По приречным темнохвойным лесам с наличием в составе древостоев кедра соболь проникает далеко на север. Хорошими угодьями считается и смешанная тайга при значительном участии кедра. </w:t>
      </w:r>
      <w:r>
        <w:rPr>
          <w:sz w:val="28"/>
          <w:szCs w:val="28"/>
        </w:rPr>
        <w:t xml:space="preserve">Реже встречается соболь в островных светлохвойных лесах среди водораздельных болот и в лиственных лесах пойменного комплекса Оби; чаще звери появляются здесь во время расселения молодняка или при недостатке кормов в тайге.</w:t>
      </w:r>
      <w:r>
        <w:rPr>
          <w:sz w:val="28"/>
          <w:szCs w:val="28"/>
        </w:rPr>
        <w:t xml:space="preserve"> Заселяет соболь и гари. Ценность гарей как местообитаний соболя </w:t>
      </w:r>
      <w:r>
        <w:rPr>
          <w:sz w:val="28"/>
          <w:szCs w:val="28"/>
        </w:rPr>
        <w:t xml:space="preserve">различна и зависит от давности пожаров, размеров выгоревших участков и характера возобновления. Гари </w:t>
      </w:r>
      <w:r>
        <w:rPr>
          <w:sz w:val="28"/>
          <w:szCs w:val="28"/>
        </w:rPr>
        <w:t xml:space="preserve">10-15-летней давности с хаотическим нагромождением упавших деревьев и густым подростом из лиственных и хвойных пород соболь заселяет особенно хорошо. Ведёт наземный образ жизни, редко забирается на деревья. Легко передвигается по глубокому и рыхлому снегу </w:t>
      </w:r>
      <w:r>
        <w:rPr>
          <w:sz w:val="28"/>
          <w:szCs w:val="28"/>
        </w:rPr>
        <w:t xml:space="preserve">благодаря</w:t>
      </w:r>
      <w:r>
        <w:rPr>
          <w:sz w:val="28"/>
          <w:szCs w:val="28"/>
        </w:rPr>
        <w:t xml:space="preserve"> хорошему </w:t>
      </w:r>
      <w:r>
        <w:rPr>
          <w:sz w:val="28"/>
          <w:szCs w:val="28"/>
        </w:rPr>
        <w:t xml:space="preserve">опушению</w:t>
      </w:r>
      <w:r>
        <w:rPr>
          <w:sz w:val="28"/>
          <w:szCs w:val="28"/>
        </w:rPr>
        <w:t xml:space="preserve"> лап. Питается разнообразной животной (в первую очередь, </w:t>
      </w:r>
      <w:r>
        <w:rPr>
          <w:sz w:val="28"/>
          <w:szCs w:val="28"/>
        </w:rPr>
        <w:t xml:space="preserve">мышевидными</w:t>
      </w:r>
      <w:r>
        <w:rPr>
          <w:sz w:val="28"/>
          <w:szCs w:val="28"/>
        </w:rPr>
        <w:t xml:space="preserve">) и растительной (различные ягоды, кедровые орехи) пищей. В качестве убежища и для устройства выводкового гнезда обычно использует прикорневые пустоты, дупла, каменистые россыпи. </w:t>
      </w:r>
      <w:r>
        <w:rPr>
          <w:sz w:val="28"/>
          <w:szCs w:val="28"/>
        </w:rPr>
        <w:t xml:space="preserve">Активен</w:t>
      </w:r>
      <w:r>
        <w:rPr>
          <w:sz w:val="28"/>
          <w:szCs w:val="28"/>
        </w:rPr>
        <w:t xml:space="preserve"> в сумеречное и ночное время, реже – днём. Численность достигла максимально известного для этих мест уровня к началу 1980-х гг. По результатам учетных работ численность </w:t>
      </w:r>
      <w:r>
        <w:rPr>
          <w:sz w:val="28"/>
          <w:szCs w:val="28"/>
          <w:highlight w:val="white"/>
        </w:rPr>
        <w:t xml:space="preserve">соболя в</w:t>
      </w:r>
      <w:r>
        <w:rPr>
          <w:sz w:val="28"/>
          <w:szCs w:val="28"/>
          <w:highlight w:val="white"/>
        </w:rPr>
        <w:t xml:space="preserve"> 2024</w:t>
      </w:r>
      <w:r>
        <w:rPr>
          <w:sz w:val="28"/>
          <w:szCs w:val="28"/>
          <w:highlight w:val="white"/>
        </w:rPr>
        <w:t xml:space="preserve"> году составила - </w:t>
      </w:r>
      <w:r>
        <w:rPr>
          <w:b/>
          <w:bCs/>
          <w:sz w:val="28"/>
          <w:szCs w:val="28"/>
          <w:highlight w:val="white"/>
        </w:rPr>
        <w:t xml:space="preserve">46346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особей. Динамика численности вида в окр</w:t>
      </w:r>
      <w:r>
        <w:rPr>
          <w:sz w:val="28"/>
          <w:szCs w:val="28"/>
        </w:rPr>
        <w:t xml:space="preserve">уге за последние четырнадцать  лет представлена (рис. 5).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Соболь</w:t>
      </w:r>
      <w:r>
        <w:rPr>
          <w:highlight w:val="white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drawing>
          <wp:inline distT="0" distB="0" distL="0" distR="0">
            <wp:extent cx="5773478" cy="3274828"/>
            <wp:effectExtent l="4762" t="4762" r="4762" b="4762"/>
            <wp:docPr id="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rPr>
          <w:sz w:val="28"/>
          <w:szCs w:val="28"/>
          <w:highlight w:val="none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8"/>
        <w:ind w:left="0" w:right="0" w:firstLine="425"/>
        <w:jc w:val="center"/>
      </w:pPr>
      <w:r>
        <w:rPr>
          <w:color w:val="000000"/>
        </w:rPr>
        <w:t xml:space="preserve">Рис. 5. Динамика численности соболя за</w:t>
      </w:r>
      <w:r>
        <w:rPr>
          <w:color w:val="000000"/>
          <w:highlight w:val="white"/>
        </w:rPr>
        <w:t xml:space="preserve"> 2011 – </w:t>
      </w:r>
      <w:r>
        <w:rPr>
          <w:color w:val="000000"/>
          <w:highlight w:val="white"/>
        </w:rPr>
        <w:t xml:space="preserve">202</w:t>
      </w:r>
      <w:r>
        <w:rPr>
          <w:color w:val="000000"/>
          <w:highlight w:val="white"/>
        </w:rPr>
        <w:t xml:space="preserve">4</w:t>
      </w:r>
      <w:r>
        <w:rPr>
          <w:color w:val="000000"/>
          <w:highlight w:val="white"/>
        </w:rPr>
        <w:t xml:space="preserve"> </w:t>
      </w:r>
      <w:r>
        <w:rPr>
          <w:color w:val="000000"/>
        </w:rPr>
        <w:t xml:space="preserve">гг., шт.</w:t>
      </w:r>
      <w:r/>
    </w:p>
    <w:p>
      <w:pPr>
        <w:ind w:firstLine="709"/>
        <w:jc w:val="both"/>
        <w:spacing w:line="360" w:lineRule="auto"/>
        <w:suppressLineNumbers w:val="0"/>
      </w:pPr>
      <w:r>
        <w:rPr>
          <w:sz w:val="28"/>
          <w:szCs w:val="28"/>
        </w:rPr>
        <w:t xml:space="preserve">Соболь – ценнейший объект пушного промысла в регионе. Соболиный промысел имеет важное экономическое значение в жизни </w:t>
      </w:r>
      <w:r>
        <w:rPr>
          <w:sz w:val="28"/>
          <w:szCs w:val="28"/>
        </w:rPr>
        <w:t xml:space="preserve">хантов</w:t>
      </w:r>
      <w:r>
        <w:rPr>
          <w:sz w:val="28"/>
          <w:szCs w:val="28"/>
        </w:rPr>
        <w:t xml:space="preserve"> и русских охотников-промысловиков. </w:t>
      </w:r>
      <w:r/>
    </w:p>
    <w:p>
      <w:pPr>
        <w:ind w:firstLine="709"/>
        <w:jc w:val="both"/>
        <w:spacing w:line="360" w:lineRule="auto"/>
        <w:rPr>
          <w:sz w:val="10"/>
          <w:szCs w:val="10"/>
        </w:rPr>
        <w:suppressLineNumbers w:val="0"/>
      </w:pPr>
      <w:r>
        <w:rPr>
          <w:sz w:val="10"/>
          <w:szCs w:val="10"/>
        </w:rPr>
      </w:r>
      <w:r>
        <w:rPr>
          <w:sz w:val="10"/>
          <w:szCs w:val="10"/>
        </w:rPr>
      </w:r>
      <w:r/>
    </w:p>
    <w:p>
      <w:pPr>
        <w:ind w:firstLine="709"/>
        <w:jc w:val="both"/>
        <w:spacing w:line="360" w:lineRule="auto"/>
        <w:rPr>
          <w:sz w:val="28"/>
          <w:szCs w:val="28"/>
          <w:highlight w:val="white"/>
        </w:rPr>
        <w:suppressLineNumbers w:val="0"/>
      </w:pPr>
      <w:r>
        <w:rPr>
          <w:b/>
          <w:bCs/>
          <w:sz w:val="28"/>
          <w:szCs w:val="28"/>
        </w:rPr>
        <w:t xml:space="preserve">Рысь – </w:t>
      </w:r>
      <w:r>
        <w:rPr>
          <w:b/>
          <w:bCs/>
          <w:i/>
          <w:sz w:val="28"/>
          <w:szCs w:val="28"/>
          <w:lang w:val="en-US"/>
        </w:rPr>
        <w:t xml:space="preserve">Felis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 xml:space="preserve">lynx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 xml:space="preserve"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Очень редкий вид. Северная граница распространения рыси в Западной Сибири совпадает с границей северной тайги.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Ханты-Мансийском</w:t>
      </w:r>
      <w:r>
        <w:rPr>
          <w:sz w:val="28"/>
          <w:szCs w:val="28"/>
        </w:rPr>
        <w:t xml:space="preserve"> автономном округе этот вид всюду крайне редок. Осно</w:t>
      </w:r>
      <w:r>
        <w:rPr>
          <w:sz w:val="28"/>
          <w:szCs w:val="28"/>
        </w:rPr>
        <w:t xml:space="preserve">вные места её обитания – смешанные леса долин таёжных рек. Придерживается участков тайги с густым подлеском, наличием полян и зарастающих гарей, где, как правило, наблюдается наибольшая плотность зайца-беляка, являющегося основным объектом питания хищника </w:t>
      </w:r>
      <w:r>
        <w:rPr>
          <w:sz w:val="28"/>
          <w:szCs w:val="28"/>
        </w:rPr>
        <w:t xml:space="preserve">в зимнее время. На участке обитания обязательно наличие высокоствольных деревьев, буреломов и «крепких» мест, где рысь может укрыться от преследования и спокойно вывести потомство. Несмотря на то, что рысь имеет небольшую удельную нагрузку на снег за счёт </w:t>
      </w:r>
      <w:r>
        <w:rPr>
          <w:sz w:val="28"/>
          <w:szCs w:val="28"/>
        </w:rPr>
        <w:t xml:space="preserve">густого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крупных лап, она избегает участков тайги с рыхлым снежным покровом. Рысь – животное оседлое. Перемещение зверей по территории в зимний период связано с поиском очагов высокой плотности населения зайцев. Кроме них, рысь ловит глухарей, тетеревов и рябчиков.</w:t>
      </w:r>
      <w:r>
        <w:rPr>
          <w:sz w:val="28"/>
          <w:szCs w:val="28"/>
        </w:rPr>
        <w:t xml:space="preserve"> Определённую роль в рационе хищника имеют мышевидные грызуны, иногда молодые копытные. Взрослые звери ведут одиночный образ жизни. Самки долго водят за собой по 1-2 котёнка. Индивидуальный участок рыси в западносибирской тайге обычно не превышает 15-25 км</w:t>
      </w:r>
      <w:r>
        <w:rPr>
          <w:sz w:val="28"/>
          <w:szCs w:val="28"/>
          <w:vertAlign w:val="superscript"/>
        </w:rPr>
        <w:t xml:space="preserve">2</w:t>
      </w:r>
      <w:r>
        <w:rPr>
          <w:sz w:val="28"/>
          <w:szCs w:val="28"/>
        </w:rPr>
        <w:t xml:space="preserve">. Однако при недостатке кормов звери выходят далеко за его пределы и широко бродят в поисках пищи. Численность рыси в значительной мере связана с динамикой численности зайца-беляка [1]. По результатам учетных работ </w:t>
      </w:r>
      <w:r>
        <w:rPr>
          <w:sz w:val="28"/>
          <w:szCs w:val="28"/>
          <w:highlight w:val="white"/>
        </w:rPr>
        <w:t xml:space="preserve">численность ры</w:t>
      </w:r>
      <w:r>
        <w:rPr>
          <w:sz w:val="28"/>
          <w:szCs w:val="28"/>
          <w:highlight w:val="white"/>
        </w:rPr>
        <w:t xml:space="preserve">си в 20</w:t>
      </w:r>
      <w:r>
        <w:rPr>
          <w:sz w:val="28"/>
          <w:szCs w:val="28"/>
          <w:highlight w:val="white"/>
        </w:rPr>
        <w:t xml:space="preserve">24 году составила - 101</w:t>
      </w:r>
      <w:r>
        <w:rPr>
          <w:sz w:val="28"/>
          <w:szCs w:val="28"/>
          <w:highlight w:val="white"/>
        </w:rPr>
        <w:t xml:space="preserve"> особи.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Наибольшая численность рыси в округе была зафиксирована в 2016 году и не превышала </w:t>
      </w:r>
      <w:r>
        <w:rPr>
          <w:sz w:val="28"/>
          <w:szCs w:val="28"/>
          <w:highlight w:val="white"/>
        </w:rPr>
        <w:t xml:space="preserve">321</w:t>
      </w:r>
      <w:r>
        <w:rPr>
          <w:sz w:val="28"/>
          <w:szCs w:val="28"/>
          <w:highlight w:val="white"/>
        </w:rPr>
        <w:t xml:space="preserve"> особи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(рис. 6).</w:t>
      </w:r>
      <w:r>
        <w:rPr>
          <w:highlight w:val="white"/>
        </w:rPr>
      </w:r>
      <w:r/>
    </w:p>
    <w:p>
      <w:pPr>
        <w:jc w:val="both"/>
        <w:spacing w:line="360" w:lineRule="auto"/>
        <w:rPr>
          <w:sz w:val="10"/>
          <w:szCs w:val="10"/>
        </w:rPr>
      </w:pPr>
      <w:r>
        <w:rPr>
          <w:sz w:val="10"/>
          <w:szCs w:val="10"/>
        </w:rPr>
      </w:r>
      <w:r/>
    </w:p>
    <w:p>
      <w:pPr>
        <w:ind w:firstLine="708"/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Рысь</w:t>
      </w:r>
      <w:r>
        <w:rPr>
          <w:highlight w:val="white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drawing>
          <wp:inline distT="0" distB="0" distL="0" distR="0">
            <wp:extent cx="5773478" cy="2838890"/>
            <wp:effectExtent l="4762" t="4762" r="4762" b="4762"/>
            <wp:docPr id="6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/>
    </w:p>
    <w:p>
      <w:pPr>
        <w:pStyle w:val="938"/>
      </w:pPr>
      <w:r>
        <w:rPr>
          <w:color w:val="000000"/>
        </w:rPr>
        <w:t xml:space="preserve">Рис. 6. Динамика численности рыси за 2</w:t>
      </w:r>
      <w:r>
        <w:rPr>
          <w:color w:val="000000"/>
          <w:highlight w:val="white"/>
        </w:rPr>
        <w:t xml:space="preserve">01</w:t>
      </w:r>
      <w:r>
        <w:rPr>
          <w:color w:val="000000"/>
          <w:highlight w:val="white"/>
        </w:rPr>
        <w:t xml:space="preserve">0 –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202</w:t>
      </w:r>
      <w:r>
        <w:rPr>
          <w:color w:val="000000"/>
          <w:highlight w:val="white"/>
        </w:rPr>
        <w:t xml:space="preserve">4 </w:t>
      </w:r>
      <w:r>
        <w:rPr>
          <w:color w:val="000000"/>
          <w:highlight w:val="white"/>
        </w:rPr>
        <w:t xml:space="preserve">гг., </w:t>
      </w:r>
      <w:r>
        <w:rPr>
          <w:color w:val="000000"/>
        </w:rPr>
        <w:t xml:space="preserve">шт.</w:t>
      </w:r>
      <w:r/>
    </w:p>
    <w:p>
      <w:pPr>
        <w:ind w:firstLine="709"/>
        <w:jc w:val="both"/>
        <w:spacing w:line="360" w:lineRule="auto"/>
        <w:suppressLineNumbers w:val="0"/>
      </w:pPr>
      <w:r>
        <w:rPr>
          <w:sz w:val="28"/>
          <w:szCs w:val="28"/>
        </w:rPr>
        <w:t xml:space="preserve">Специальной охоты на рысь не ведётся. Добыча зверей в районе чаще носит случайный характер, и в заготовки их шкуры не поступают.</w:t>
      </w:r>
      <w:r/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  <w:t xml:space="preserve">Сведения об охотничьих ресурсах с целью установления лимита добычи </w:t>
      </w:r>
      <w:r>
        <w:rPr>
          <w:sz w:val="28"/>
          <w:szCs w:val="28"/>
          <w:highlight w:val="none"/>
        </w:rPr>
        <w:t xml:space="preserve">охотничьих ресурсов с 1 августа 2024 года до 1 августа 2025 года на территории </w:t>
      </w:r>
      <w:r>
        <w:rPr>
          <w:sz w:val="28"/>
          <w:szCs w:val="28"/>
          <w:highlight w:val="none"/>
        </w:rPr>
        <w:t xml:space="preserve">Ханты-Мансийского автоном</w:t>
      </w:r>
      <w:r>
        <w:rPr>
          <w:sz w:val="28"/>
          <w:szCs w:val="28"/>
          <w:highlight w:val="none"/>
        </w:rPr>
        <w:t xml:space="preserve">ного округа — Югры представлены </w:t>
      </w:r>
      <w:r>
        <w:rPr>
          <w:sz w:val="28"/>
          <w:szCs w:val="28"/>
          <w:highlight w:val="none"/>
        </w:rPr>
        <w:t xml:space="preserve">в таблице 6</w:t>
      </w:r>
      <w:r>
        <w:rPr>
          <w:sz w:val="28"/>
          <w:szCs w:val="28"/>
          <w:highlight w:val="none"/>
        </w:rPr>
        <w:t xml:space="preserve">.</w:t>
      </w:r>
      <w:r/>
    </w:p>
    <w:p>
      <w:pPr>
        <w:ind w:firstLine="708"/>
        <w:jc w:val="both"/>
        <w:sectPr>
          <w:footerReference w:type="default" r:id="rId9"/>
          <w:footerReference w:type="first" r:id="rId10"/>
          <w:footnotePr/>
          <w:endnotePr/>
          <w:type w:val="nextPage"/>
          <w:pgSz w:w="11906" w:h="16838" w:orient="portrait"/>
          <w:pgMar w:top="1276" w:right="849" w:bottom="766" w:left="1559" w:header="0" w:footer="709" w:gutter="0"/>
          <w:pgNumType w:start="1"/>
          <w:cols w:num="1" w:sep="0" w:space="720" w:equalWidth="1"/>
          <w:docGrid w:linePitch="360"/>
          <w:titlePg/>
        </w:sectPr>
      </w:pPr>
      <w:r/>
      <w:r/>
    </w:p>
    <w:p>
      <w:pPr>
        <w:jc w:val="right"/>
        <w:tabs>
          <w:tab w:val="left" w:pos="2700" w:leader="none"/>
        </w:tabs>
      </w:pPr>
      <w:r>
        <w:t xml:space="preserve">Таблица 6</w:t>
      </w:r>
      <w:r/>
    </w:p>
    <w:p>
      <w:pPr>
        <w:jc w:val="right"/>
        <w:tabs>
          <w:tab w:val="left" w:pos="270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Проектируемые объемы лимитов добычи охотничьих ресурсов с 1 августа 2024 года до 1 августа 2025 года </w:t>
      </w: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 территории Ханты-Мансийского автономного округа – Югры</w:t>
      </w:r>
      <w:r>
        <w:rPr>
          <w:sz w:val="28"/>
          <w:szCs w:val="28"/>
        </w:rPr>
      </w:r>
      <w:r/>
    </w:p>
    <w:p>
      <w:pPr>
        <w:jc w:val="center"/>
        <w:tabs>
          <w:tab w:val="left" w:pos="27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jc w:val="center"/>
        <w:tabs>
          <w:tab w:val="left" w:pos="2700" w:leader="none"/>
        </w:tabs>
        <w:rPr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r/>
      <w:r/>
    </w:p>
    <w:tbl>
      <w:tblPr>
        <w:tblStyle w:val="961"/>
        <w:tblW w:w="0" w:type="auto"/>
        <w:tblLook w:val="04A0" w:firstRow="1" w:lastRow="0" w:firstColumn="1" w:lastColumn="0" w:noHBand="0" w:noVBand="1"/>
      </w:tblPr>
      <w:tblGrid>
        <w:gridCol w:w="1328"/>
        <w:gridCol w:w="1437"/>
        <w:gridCol w:w="984"/>
        <w:gridCol w:w="984"/>
        <w:gridCol w:w="984"/>
        <w:gridCol w:w="1187"/>
        <w:gridCol w:w="984"/>
        <w:gridCol w:w="1117"/>
        <w:gridCol w:w="984"/>
        <w:gridCol w:w="1094"/>
        <w:gridCol w:w="984"/>
        <w:gridCol w:w="1266"/>
        <w:gridCol w:w="1312"/>
      </w:tblGrid>
      <w:tr>
        <w:trPr>
          <w:trHeight w:val="40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Вид охотничьих ресурсов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6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Предыдущий год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5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Предстоящий год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6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Численность видов охотничьих ресурсов, особей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Лимит добычи, особей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7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Добыча, особей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освоение лимита, %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Численность видов охотничьих ресурсов, особей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Устанавливаемый лимит добычи, особей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5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 том числе для КМНС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 том числе для КМНС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btLr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 % от численности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 том числе для КМНС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7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5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btLr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взрослые животные (старше 1 года)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до 1 года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Лось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24229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1386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shd w:val="clear" w:color="ffffff" w:themeColor="background1" w:fill="ffffff" w:themeFill="background1"/>
                <w:vertAlign w:val="baseline"/>
              </w:rPr>
              <w:t xml:space="preserve">162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/>
              </w:rPr>
              <w:t xml:space="preserve">740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н/д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/>
              </w:rPr>
              <w:t xml:space="preserve">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  <w:lang w:val="ru-RU"/>
              </w:rPr>
              <w:t xml:space="preserve">,4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26183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1455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5,6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180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473*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141**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Соболь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41649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14399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1903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/>
              </w:rPr>
              <w:t xml:space="preserve">6968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н/д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48,4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46346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16095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34,7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2419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ff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Медведь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7373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2018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315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/>
              </w:rPr>
              <w:t xml:space="preserve">173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н/д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8,6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7644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2145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28,1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330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Барсук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3695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260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н/д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10,8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3476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318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9,1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74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Рысь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90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н/д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12,5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101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8,9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24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Выдра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2611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120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37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н/д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1,7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2718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125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4,6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  <w:t xml:space="preserve">42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1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41"/>
        </w:trPr>
        <w:tc>
          <w:tcPr>
            <w:gridSpan w:val="13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48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* без подразделения по половому признаку + самцы во время гона (установленная квота на ООУ)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338"/>
        </w:trPr>
        <w:tc>
          <w:tcPr>
            <w:gridSpan w:val="1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48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shd w:val="clear" w:color="ffffff" w:themeColor="background1" w:fill="ffffff" w:themeFill="background1"/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** до года (установленная квота на ООУ)</w:t>
            </w:r>
            <w:r>
              <w:rPr>
                <w:rFonts w:ascii="Times New Roman" w:hAnsi="Times New Roman" w:eastAsia="Calibri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/>
          </w:p>
          <w:p>
            <w:pPr>
              <w:contextualSpacing/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eastAsia="Calibri" w:cs="Times New Roman"/>
                <w:b w:val="0"/>
                <w:bCs w:val="0"/>
                <w:i w:val="0"/>
                <w:strike w:val="0"/>
                <w:color w:val="000000"/>
                <w:highlight w:val="white"/>
                <w:u w:val="none"/>
                <w:vertAlign w:val="baseline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</w:tbl>
    <w:p>
      <w:pPr>
        <w:sectPr>
          <w:footerReference w:type="default" r:id="rId11"/>
          <w:footnotePr/>
          <w:endnotePr/>
          <w:type w:val="nextPage"/>
          <w:pgSz w:w="16838" w:h="11906" w:orient="landscape"/>
          <w:pgMar w:top="1134" w:right="820" w:bottom="1134" w:left="1418" w:header="0" w:footer="709" w:gutter="0"/>
          <w:cols w:num="1" w:sep="0" w:space="720" w:equalWidth="1"/>
          <w:docGrid w:linePitch="360"/>
        </w:sectPr>
      </w:pPr>
      <w:r/>
      <w:r/>
    </w:p>
    <w:p>
      <w:pPr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  <w:t xml:space="preserve">4. </w:t>
      </w:r>
      <w:r>
        <w:rPr>
          <w:b/>
          <w:bCs/>
          <w:sz w:val="28"/>
          <w:szCs w:val="28"/>
        </w:rPr>
        <w:t xml:space="preserve">Заключительная часть</w:t>
      </w:r>
      <w:r>
        <w:rPr>
          <w:b/>
          <w:bCs/>
        </w:rPr>
      </w:r>
      <w:r/>
    </w:p>
    <w:p>
      <w:pPr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 xml:space="preserve">Контроль за</w:t>
      </w:r>
      <w:r>
        <w:rPr>
          <w:sz w:val="28"/>
          <w:szCs w:val="28"/>
          <w:highlight w:val="none"/>
        </w:rPr>
        <w:t xml:space="preserve"> исполнением документа об утверждении лимита </w:t>
      </w:r>
      <w:r>
        <w:rPr>
          <w:sz w:val="28"/>
          <w:szCs w:val="28"/>
          <w:highlight w:val="none"/>
        </w:rPr>
        <w:t xml:space="preserve">с 1 августа 2</w:t>
      </w:r>
      <w:r>
        <w:rPr>
          <w:sz w:val="28"/>
          <w:szCs w:val="28"/>
          <w:highlight w:val="none"/>
        </w:rPr>
        <w:t xml:space="preserve">024 года до 1 августа 2025 года </w:t>
      </w:r>
      <w:r>
        <w:rPr>
          <w:sz w:val="28"/>
          <w:szCs w:val="28"/>
          <w:highlight w:val="none"/>
        </w:rPr>
        <w:t xml:space="preserve">на территории Ханты-Мансийского автономного округа – Югры</w:t>
      </w:r>
      <w:r>
        <w:rPr>
          <w:sz w:val="28"/>
          <w:szCs w:val="28"/>
          <w:highlight w:val="none"/>
        </w:rPr>
        <w:t xml:space="preserve">, возложен на заместителя директора Департамента недропользования и природных ресурсов Ханты-Мансийского автономного округа – Югры: Комиссарова Александра Юрьевича.</w:t>
      </w:r>
      <w:r/>
    </w:p>
    <w:p>
      <w:pPr>
        <w:jc w:val="both"/>
        <w:spacing w:line="276" w:lineRule="auto"/>
        <w:rPr>
          <w:sz w:val="28"/>
          <w:szCs w:val="28"/>
          <w:highlight w:val="none"/>
        </w:rPr>
        <w:sectPr>
          <w:footerReference w:type="default" r:id="rId12"/>
          <w:footnotePr/>
          <w:endnotePr/>
          <w:type w:val="nextPage"/>
          <w:pgSz w:w="11906" w:h="16838" w:orient="portrait"/>
          <w:pgMar w:top="567" w:right="1134" w:bottom="1418" w:left="1134" w:header="0" w:footer="709" w:gutter="0"/>
          <w:cols w:num="1" w:sep="0" w:space="720" w:equalWidth="1"/>
          <w:docGrid w:linePitch="360"/>
        </w:sectPr>
      </w:pPr>
      <w:r>
        <w:rPr>
          <w:sz w:val="28"/>
          <w:szCs w:val="28"/>
          <w:highlight w:val="none"/>
        </w:rPr>
      </w:r>
      <w:r/>
    </w:p>
    <w:p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  <w:lang w:val="en-US"/>
        </w:rPr>
        <w:t xml:space="preserve">5</w:t>
      </w:r>
      <w:r>
        <w:rPr>
          <w:b/>
          <w:bCs/>
          <w:sz w:val="28"/>
          <w:szCs w:val="28"/>
          <w:highlight w:val="none"/>
        </w:rPr>
        <w:t xml:space="preserve">. Список и</w:t>
      </w:r>
      <w:r>
        <w:rPr>
          <w:b/>
          <w:bCs/>
          <w:sz w:val="28"/>
          <w:szCs w:val="28"/>
        </w:rPr>
        <w:t xml:space="preserve">спользуемой литератур</w:t>
      </w:r>
      <w:r>
        <w:rPr>
          <w:b/>
          <w:bCs/>
          <w:sz w:val="28"/>
          <w:szCs w:val="28"/>
          <w:highlight w:val="none"/>
        </w:rPr>
        <w:t xml:space="preserve">ы</w:t>
      </w:r>
      <w:r>
        <w:rPr>
          <w:b/>
          <w:bCs/>
        </w:rPr>
      </w:r>
      <w:r/>
    </w:p>
    <w:p>
      <w:pPr>
        <w:ind w:firstLine="54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bookmarkStart w:id="3" w:name="_GoBack"/>
      <w:r/>
      <w:bookmarkEnd w:id="3"/>
      <w:r/>
      <w:r/>
    </w:p>
    <w:p>
      <w:pPr>
        <w:ind w:firstLine="540"/>
        <w:jc w:val="both"/>
        <w:spacing w:line="276" w:lineRule="auto"/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Жизнь животных: в 7 т. Млекопитающие/ ред. кол.: В. Е. Соколов (гл. ред.) и др./ Изд. 2-е, </w:t>
      </w:r>
      <w:r>
        <w:rPr>
          <w:sz w:val="28"/>
          <w:szCs w:val="28"/>
        </w:rPr>
        <w:t xml:space="preserve">перераб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М.: Просвещение, 1989, 557 с.</w:t>
      </w:r>
      <w:r/>
    </w:p>
    <w:p>
      <w:pPr>
        <w:ind w:firstLine="540"/>
        <w:jc w:val="both"/>
        <w:spacing w:line="276" w:lineRule="auto"/>
      </w:pPr>
      <w:r>
        <w:rPr>
          <w:bCs/>
          <w:sz w:val="28"/>
          <w:szCs w:val="28"/>
          <w:highlight w:val="none"/>
        </w:rPr>
        <w:t xml:space="preserve">2</w:t>
      </w:r>
      <w:r>
        <w:rPr>
          <w:bCs/>
          <w:sz w:val="28"/>
          <w:szCs w:val="28"/>
        </w:rPr>
        <w:t xml:space="preserve">.</w:t>
      </w:r>
      <w:r>
        <w:rPr>
          <w:bCs/>
        </w:rPr>
        <w:tab/>
      </w:r>
      <w:r>
        <w:rPr>
          <w:bCs/>
          <w:sz w:val="28"/>
          <w:szCs w:val="28"/>
        </w:rPr>
        <w:t xml:space="preserve">Филонов</w:t>
      </w:r>
      <w:r>
        <w:rPr>
          <w:sz w:val="28"/>
          <w:szCs w:val="28"/>
        </w:rPr>
        <w:t xml:space="preserve"> К.П. Лось. М.: Лесная промышленность </w:t>
      </w:r>
      <w:r>
        <w:rPr>
          <w:bCs/>
          <w:sz w:val="28"/>
          <w:szCs w:val="28"/>
        </w:rPr>
        <w:t xml:space="preserve">1983,</w:t>
      </w:r>
      <w:r>
        <w:rPr>
          <w:sz w:val="28"/>
          <w:szCs w:val="28"/>
        </w:rPr>
        <w:t xml:space="preserve"> 246 с.</w:t>
      </w:r>
      <w:r/>
    </w:p>
    <w:p>
      <w:pPr>
        <w:jc w:val="both"/>
        <w:spacing w:line="276" w:lineRule="auto"/>
      </w:pPr>
      <w:r>
        <w:rPr>
          <w:color w:val="000000"/>
          <w:sz w:val="28"/>
          <w:szCs w:val="28"/>
          <w:lang w:eastAsia="en-US"/>
        </w:rPr>
        <w:t xml:space="preserve">    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3.</w:t>
      </w:r>
      <w:r>
        <w:rPr>
          <w:rFonts w:eastAsia="Calibri"/>
          <w:color w:val="000000"/>
          <w:sz w:val="28"/>
          <w:szCs w:val="28"/>
          <w:lang w:eastAsia="en-US"/>
        </w:rPr>
        <w:tab/>
        <w:t xml:space="preserve">Новиков В. П., Котов Г. Н. О состоянии ресурсов лося в тайге Нижнего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Приобья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// </w:t>
      </w:r>
      <w:r>
        <w:rPr>
          <w:rFonts w:eastAsia="Calibri"/>
          <w:color w:val="000000"/>
          <w:sz w:val="28"/>
          <w:szCs w:val="28"/>
          <w:lang w:eastAsia="en-US"/>
        </w:rPr>
        <w:t xml:space="preserve">Бюл</w:t>
      </w:r>
      <w:r>
        <w:rPr>
          <w:rFonts w:eastAsia="Calibri"/>
          <w:color w:val="000000"/>
          <w:sz w:val="28"/>
          <w:szCs w:val="28"/>
          <w:lang w:eastAsia="en-US"/>
        </w:rPr>
        <w:t xml:space="preserve">. МОИП. Отд. биол. 1990. Т. 95,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вып</w:t>
      </w:r>
      <w:r>
        <w:rPr>
          <w:rFonts w:eastAsia="Calibri"/>
          <w:color w:val="000000"/>
          <w:sz w:val="28"/>
          <w:szCs w:val="28"/>
          <w:lang w:eastAsia="en-US"/>
        </w:rPr>
        <w:t xml:space="preserve">. 3. 34-37 с.</w:t>
      </w:r>
      <w:r/>
    </w:p>
    <w:p>
      <w:pPr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4.</w:t>
      </w:r>
      <w:r>
        <w:rPr>
          <w:sz w:val="28"/>
          <w:szCs w:val="28"/>
        </w:rPr>
        <w:tab/>
        <w:t xml:space="preserve">Глушков В.М. Управление популяциями лося: биологические предпосылки и практические возможности // «Управление популяциями диких копытных животных»: Сб. научных трудов ЦНИЛ </w:t>
      </w:r>
      <w:r>
        <w:rPr>
          <w:sz w:val="28"/>
          <w:szCs w:val="28"/>
        </w:rPr>
        <w:t xml:space="preserve">Главохоты</w:t>
      </w:r>
      <w:r>
        <w:rPr>
          <w:sz w:val="28"/>
          <w:szCs w:val="28"/>
        </w:rPr>
        <w:t xml:space="preserve"> РСФСР. М., 1985.  5-13 с.</w:t>
      </w:r>
      <w:r/>
    </w:p>
    <w:p>
      <w:pPr>
        <w:pStyle w:val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ab/>
        <w:t xml:space="preserve">Сборник методических указаний по учетам охотничьих зверей и птиц. ХМАО-Югра, Управление по использованию рыбных и охотничьих ресурсов автономного округа, г. Ханты-Мансийск, 2006 г. 1-103 с.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3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ab/>
        <w:t xml:space="preserve">Методика учета численности охотничьих ресурсов методом зимнего маршрутного учета [Электронный ресурс]: Приказ ФГБУ «ФЦРОХ»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22.11.2023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49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93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7.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Об утверждении нормативов допустимого изъятия охотничьих ресурсов [Электронный ресурс]: Приказ Министерства природных ресурсов и экологии Российской Федерации 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27.01.2022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49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в Минюсте России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17.02.2022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67329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Доступ из справ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правовой системы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КонсультантПлюс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».</w:t>
      </w:r>
      <w:r/>
    </w:p>
    <w:p>
      <w:pPr>
        <w:pStyle w:val="930"/>
      </w:pPr>
      <w:r/>
      <w:r/>
    </w:p>
    <w:sectPr>
      <w:footerReference w:type="default" r:id="rId13"/>
      <w:footnotePr/>
      <w:endnotePr/>
      <w:type w:val="nextPage"/>
      <w:pgSz w:w="11906" w:h="16838" w:orient="portrait"/>
      <w:pgMar w:top="1134" w:right="567" w:bottom="1134" w:left="1418" w:header="0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ont203">
    <w:panose1 w:val="05050102010205020202"/>
  </w:font>
  <w:font w:name="Lucida Sans">
    <w:panose1 w:val="020B0602030504020204"/>
  </w:font>
  <w:font w:name="Liberation Sans">
    <w:panose1 w:val="020B0604020202020204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Segoe UI">
    <w:panose1 w:val="020B0502040204020203"/>
  </w:font>
  <w:font w:name="Microsoft YaHei">
    <w:panose1 w:val="020B050302020402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21</w:t>
    </w:r>
    <w:r>
      <w:fldChar w:fldCharType="end"/>
    </w:r>
    <w:r/>
  </w:p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22</w:t>
    </w:r>
    <w:r>
      <w:fldChar w:fldCharType="end"/>
    </w:r>
    <w:r/>
  </w:p>
  <w:p>
    <w:pPr>
      <w:pStyle w:val="934"/>
      <w:jc w:val="center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23</w:t>
    </w:r>
    <w:r>
      <w:fldChar w:fldCharType="end"/>
    </w:r>
    <w:r/>
  </w:p>
  <w:p>
    <w:pPr>
      <w:pStyle w:val="934"/>
      <w:jc w:val="center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24</w:t>
    </w:r>
    <w:r>
      <w:fldChar w:fldCharType="end"/>
    </w:r>
    <w:r/>
  </w:p>
  <w:p>
    <w:pPr>
      <w:pStyle w:val="934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0">
    <w:name w:val="Header"/>
    <w:basedOn w:val="834"/>
    <w:link w:val="86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Caption Char"/>
    <w:basedOn w:val="907"/>
    <w:link w:val="960"/>
    <w:uiPriority w:val="99"/>
  </w:style>
  <w:style w:type="table" w:styleId="722">
    <w:name w:val="Table Grid Light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character" w:styleId="829">
    <w:name w:val="footnote reference"/>
    <w:basedOn w:val="844"/>
    <w:uiPriority w:val="99"/>
    <w:unhideWhenUsed/>
    <w:rPr>
      <w:vertAlign w:val="superscript"/>
    </w:rPr>
  </w:style>
  <w:style w:type="paragraph" w:styleId="830">
    <w:name w:val="endnote text"/>
    <w:basedOn w:val="83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basedOn w:val="844"/>
    <w:uiPriority w:val="99"/>
    <w:semiHidden/>
    <w:unhideWhenUsed/>
    <w:rPr>
      <w:vertAlign w:val="superscript"/>
    </w:rPr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  <w:rPr>
      <w:color w:val="00000a"/>
      <w:sz w:val="24"/>
      <w:szCs w:val="24"/>
      <w:highlight w:val="white"/>
    </w:rPr>
  </w:style>
  <w:style w:type="paragraph" w:styleId="835">
    <w:name w:val="Heading 1"/>
    <w:basedOn w:val="834"/>
    <w:next w:val="83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36">
    <w:name w:val="Heading 2"/>
    <w:basedOn w:val="834"/>
    <w:next w:val="83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37">
    <w:name w:val="Heading 3"/>
    <w:basedOn w:val="834"/>
    <w:next w:val="8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38">
    <w:name w:val="Heading 4"/>
    <w:basedOn w:val="834"/>
    <w:next w:val="83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39">
    <w:name w:val="Heading 5"/>
    <w:basedOn w:val="834"/>
    <w:next w:val="83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840">
    <w:name w:val="Heading 6"/>
    <w:basedOn w:val="834"/>
    <w:next w:val="8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41">
    <w:name w:val="Heading 7"/>
    <w:basedOn w:val="834"/>
    <w:next w:val="83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42">
    <w:name w:val="Heading 8"/>
    <w:basedOn w:val="834"/>
    <w:next w:val="8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43">
    <w:name w:val="Heading 9"/>
    <w:basedOn w:val="834"/>
    <w:next w:val="8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4" w:default="1">
    <w:name w:val="Default Paragraph Font"/>
    <w:uiPriority w:val="1"/>
    <w:semiHidden/>
    <w:unhideWhenUsed/>
  </w:style>
  <w:style w:type="table" w:styleId="8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6" w:default="1">
    <w:name w:val="No List"/>
    <w:uiPriority w:val="99"/>
    <w:semiHidden/>
    <w:unhideWhenUsed/>
  </w:style>
  <w:style w:type="character" w:styleId="847" w:customStyle="1">
    <w:name w:val="Heading 1 Char"/>
    <w:basedOn w:val="844"/>
    <w:uiPriority w:val="9"/>
    <w:qFormat/>
    <w:rPr>
      <w:rFonts w:ascii="Arial" w:hAnsi="Arial" w:eastAsia="Arial" w:cs="Arial"/>
      <w:sz w:val="40"/>
      <w:szCs w:val="40"/>
    </w:rPr>
  </w:style>
  <w:style w:type="character" w:styleId="848" w:customStyle="1">
    <w:name w:val="Heading 2 Char"/>
    <w:basedOn w:val="844"/>
    <w:uiPriority w:val="9"/>
    <w:qFormat/>
    <w:rPr>
      <w:rFonts w:ascii="Arial" w:hAnsi="Arial" w:eastAsia="Arial" w:cs="Arial"/>
      <w:sz w:val="34"/>
    </w:rPr>
  </w:style>
  <w:style w:type="character" w:styleId="849" w:customStyle="1">
    <w:name w:val="Heading 3 Char"/>
    <w:basedOn w:val="844"/>
    <w:uiPriority w:val="9"/>
    <w:qFormat/>
    <w:rPr>
      <w:rFonts w:ascii="Arial" w:hAnsi="Arial" w:eastAsia="Arial" w:cs="Arial"/>
      <w:sz w:val="30"/>
      <w:szCs w:val="30"/>
    </w:rPr>
  </w:style>
  <w:style w:type="character" w:styleId="850" w:customStyle="1">
    <w:name w:val="Heading 4 Char"/>
    <w:basedOn w:val="84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51" w:customStyle="1">
    <w:name w:val="Heading 5 Char"/>
    <w:basedOn w:val="844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52" w:customStyle="1">
    <w:name w:val="Heading 6 Char"/>
    <w:basedOn w:val="84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53" w:customStyle="1">
    <w:name w:val="Heading 7 Char"/>
    <w:basedOn w:val="844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54" w:customStyle="1">
    <w:name w:val="Heading 8 Char"/>
    <w:basedOn w:val="84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55" w:customStyle="1">
    <w:name w:val="Heading 9 Char"/>
    <w:basedOn w:val="844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56" w:customStyle="1">
    <w:name w:val="Title Char"/>
    <w:basedOn w:val="844"/>
    <w:uiPriority w:val="10"/>
    <w:qFormat/>
    <w:rPr>
      <w:sz w:val="48"/>
      <w:szCs w:val="48"/>
    </w:rPr>
  </w:style>
  <w:style w:type="character" w:styleId="857" w:customStyle="1">
    <w:name w:val="Subtitle Char"/>
    <w:basedOn w:val="844"/>
    <w:uiPriority w:val="11"/>
    <w:qFormat/>
    <w:rPr>
      <w:sz w:val="24"/>
      <w:szCs w:val="24"/>
    </w:rPr>
  </w:style>
  <w:style w:type="character" w:styleId="858" w:customStyle="1">
    <w:name w:val="Quote Char"/>
    <w:uiPriority w:val="29"/>
    <w:qFormat/>
    <w:rPr>
      <w:i/>
    </w:rPr>
  </w:style>
  <w:style w:type="character" w:styleId="859" w:customStyle="1">
    <w:name w:val="Intense Quote Char"/>
    <w:uiPriority w:val="30"/>
    <w:qFormat/>
    <w:rPr>
      <w:i/>
    </w:rPr>
  </w:style>
  <w:style w:type="character" w:styleId="860" w:customStyle="1">
    <w:name w:val="Header Char"/>
    <w:basedOn w:val="844"/>
    <w:uiPriority w:val="99"/>
    <w:qFormat/>
  </w:style>
  <w:style w:type="character" w:styleId="861" w:customStyle="1">
    <w:name w:val="Footer Char"/>
    <w:basedOn w:val="844"/>
    <w:uiPriority w:val="99"/>
    <w:qFormat/>
  </w:style>
  <w:style w:type="character" w:styleId="862" w:customStyle="1">
    <w:name w:val="Интернет-ссылка"/>
    <w:rPr>
      <w:color w:val="000080"/>
      <w:u w:val="single"/>
    </w:rPr>
  </w:style>
  <w:style w:type="character" w:styleId="863" w:customStyle="1">
    <w:name w:val="Footnote Text Char"/>
    <w:uiPriority w:val="99"/>
    <w:qFormat/>
    <w:rPr>
      <w:sz w:val="18"/>
    </w:rPr>
  </w:style>
  <w:style w:type="character" w:styleId="864" w:customStyle="1">
    <w:name w:val="Привязка сноски"/>
    <w:rPr>
      <w:vertAlign w:val="superscript"/>
    </w:rPr>
  </w:style>
  <w:style w:type="character" w:styleId="865" w:customStyle="1">
    <w:name w:val="Footnote Characters"/>
    <w:basedOn w:val="844"/>
    <w:uiPriority w:val="99"/>
    <w:unhideWhenUsed/>
    <w:qFormat/>
    <w:rPr>
      <w:vertAlign w:val="superscript"/>
    </w:rPr>
  </w:style>
  <w:style w:type="character" w:styleId="866" w:customStyle="1">
    <w:name w:val="WW8Num1z0"/>
    <w:qFormat/>
    <w:rPr>
      <w:rFonts w:ascii="Times New Roman" w:hAnsi="Times New Roman" w:cs="Times New Roman"/>
      <w:color w:val="ce181e"/>
      <w:sz w:val="28"/>
      <w:szCs w:val="28"/>
      <w:highlight w:val="yellow"/>
    </w:rPr>
  </w:style>
  <w:style w:type="character" w:styleId="867" w:customStyle="1">
    <w:name w:val="WW8Num1z1"/>
    <w:qFormat/>
  </w:style>
  <w:style w:type="character" w:styleId="868" w:customStyle="1">
    <w:name w:val="WW8Num1z2"/>
    <w:qFormat/>
  </w:style>
  <w:style w:type="character" w:styleId="869" w:customStyle="1">
    <w:name w:val="WW8Num1z3"/>
    <w:qFormat/>
  </w:style>
  <w:style w:type="character" w:styleId="870" w:customStyle="1">
    <w:name w:val="WW8Num1z4"/>
    <w:qFormat/>
  </w:style>
  <w:style w:type="character" w:styleId="871" w:customStyle="1">
    <w:name w:val="WW8Num1z5"/>
    <w:qFormat/>
  </w:style>
  <w:style w:type="character" w:styleId="872" w:customStyle="1">
    <w:name w:val="WW8Num1z6"/>
    <w:qFormat/>
  </w:style>
  <w:style w:type="character" w:styleId="873" w:customStyle="1">
    <w:name w:val="WW8Num1z7"/>
    <w:qFormat/>
  </w:style>
  <w:style w:type="character" w:styleId="874" w:customStyle="1">
    <w:name w:val="WW8Num1z8"/>
    <w:qFormat/>
  </w:style>
  <w:style w:type="character" w:styleId="875" w:customStyle="1">
    <w:name w:val="WW8Num2z0"/>
    <w:qFormat/>
  </w:style>
  <w:style w:type="character" w:styleId="876" w:customStyle="1">
    <w:name w:val="WW8Num2z1"/>
    <w:qFormat/>
  </w:style>
  <w:style w:type="character" w:styleId="877" w:customStyle="1">
    <w:name w:val="WW8Num2z2"/>
    <w:qFormat/>
  </w:style>
  <w:style w:type="character" w:styleId="878" w:customStyle="1">
    <w:name w:val="WW8Num2z3"/>
    <w:qFormat/>
  </w:style>
  <w:style w:type="character" w:styleId="879" w:customStyle="1">
    <w:name w:val="WW8Num2z4"/>
    <w:qFormat/>
  </w:style>
  <w:style w:type="character" w:styleId="880" w:customStyle="1">
    <w:name w:val="WW8Num2z5"/>
    <w:qFormat/>
  </w:style>
  <w:style w:type="character" w:styleId="881" w:customStyle="1">
    <w:name w:val="WW8Num2z6"/>
    <w:qFormat/>
  </w:style>
  <w:style w:type="character" w:styleId="882" w:customStyle="1">
    <w:name w:val="WW8Num2z7"/>
    <w:qFormat/>
  </w:style>
  <w:style w:type="character" w:styleId="883" w:customStyle="1">
    <w:name w:val="WW8Num2z8"/>
    <w:qFormat/>
  </w:style>
  <w:style w:type="character" w:styleId="884" w:customStyle="1">
    <w:name w:val="Основной шрифт абзаца1"/>
    <w:qFormat/>
  </w:style>
  <w:style w:type="character" w:styleId="885" w:customStyle="1">
    <w:name w:val="Основной текст с отступом Знак"/>
    <w:basedOn w:val="88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6" w:customStyle="1">
    <w:name w:val="Список – Знак Знак"/>
    <w:qFormat/>
    <w:rPr>
      <w:lang w:eastAsia="ru-RU"/>
    </w:rPr>
  </w:style>
  <w:style w:type="character" w:styleId="887" w:customStyle="1">
    <w:name w:val="Верхний колонтитул Знак"/>
    <w:basedOn w:val="88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8" w:customStyle="1">
    <w:name w:val="Нижний колонтитул Знак"/>
    <w:basedOn w:val="88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9" w:customStyle="1">
    <w:name w:val="Текст выноски Знак"/>
    <w:basedOn w:val="884"/>
    <w:qFormat/>
    <w:rPr>
      <w:rFonts w:ascii="Segoe UI" w:hAnsi="Segoe UI" w:eastAsia="Times New Roman" w:cs="Segoe UI"/>
      <w:sz w:val="18"/>
      <w:szCs w:val="18"/>
      <w:lang w:eastAsia="ru-RU"/>
    </w:rPr>
  </w:style>
  <w:style w:type="character" w:styleId="890" w:customStyle="1">
    <w:name w:val="Название таблицы Знак"/>
    <w:qFormat/>
    <w:rPr>
      <w:rFonts w:ascii="Times New Roman" w:hAnsi="Times New Roman" w:eastAsia="Calibri" w:cs="Times New Roman"/>
      <w:b/>
      <w:iCs/>
      <w:szCs w:val="28"/>
      <w:lang w:eastAsia="ru-RU"/>
    </w:rPr>
  </w:style>
  <w:style w:type="character" w:styleId="891" w:customStyle="1">
    <w:name w:val="обычный2010 Знак"/>
    <w:qFormat/>
    <w:rPr>
      <w:rFonts w:ascii="Arial" w:hAnsi="Arial" w:eastAsia="Times New Roman" w:cs="Times New Roman"/>
      <w:lang w:eastAsia="ru-RU"/>
    </w:rPr>
  </w:style>
  <w:style w:type="character" w:styleId="892" w:customStyle="1">
    <w:name w:val="Название рисунка Знак"/>
    <w:qFormat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93" w:customStyle="1">
    <w:name w:val="Основной текст (2)_"/>
    <w:basedOn w:val="884"/>
    <w:qFormat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character" w:styleId="894" w:customStyle="1">
    <w:name w:val="CITE"/>
    <w:qFormat/>
    <w:rPr>
      <w:i/>
    </w:rPr>
  </w:style>
  <w:style w:type="character" w:styleId="895" w:customStyle="1">
    <w:name w:val="CODE"/>
    <w:qFormat/>
    <w:rPr>
      <w:rFonts w:ascii="Courier New" w:hAnsi="Courier New" w:cs="Courier New"/>
      <w:sz w:val="20"/>
    </w:rPr>
  </w:style>
  <w:style w:type="character" w:styleId="896" w:customStyle="1">
    <w:name w:val="Просмотренная гиперссылка1"/>
    <w:qFormat/>
    <w:rPr>
      <w:color w:val="800080"/>
      <w:u w:val="single"/>
    </w:rPr>
  </w:style>
  <w:style w:type="character" w:styleId="897" w:customStyle="1">
    <w:name w:val="Keyboard"/>
    <w:qFormat/>
    <w:rPr>
      <w:rFonts w:ascii="Courier New" w:hAnsi="Courier New" w:cs="Courier New"/>
      <w:b/>
      <w:sz w:val="20"/>
    </w:rPr>
  </w:style>
  <w:style w:type="character" w:styleId="898" w:customStyle="1">
    <w:name w:val="Sample"/>
    <w:qFormat/>
    <w:rPr>
      <w:rFonts w:ascii="Courier New" w:hAnsi="Courier New" w:cs="Courier New"/>
    </w:rPr>
  </w:style>
  <w:style w:type="character" w:styleId="899" w:customStyle="1">
    <w:name w:val="Строгий1"/>
    <w:qFormat/>
    <w:rPr>
      <w:b/>
    </w:rPr>
  </w:style>
  <w:style w:type="character" w:styleId="900" w:customStyle="1">
    <w:name w:val="Typewriter"/>
    <w:qFormat/>
    <w:rPr>
      <w:rFonts w:ascii="Courier New" w:hAnsi="Courier New" w:cs="Courier New"/>
      <w:sz w:val="20"/>
    </w:rPr>
  </w:style>
  <w:style w:type="character" w:styleId="901" w:customStyle="1">
    <w:name w:val="HTML Markup"/>
    <w:qFormat/>
    <w:rPr>
      <w:vanish/>
      <w:color w:val="ff0000"/>
    </w:rPr>
  </w:style>
  <w:style w:type="character" w:styleId="902" w:customStyle="1">
    <w:name w:val="Comment"/>
    <w:qFormat/>
    <w:rPr>
      <w:vanish/>
    </w:rPr>
  </w:style>
  <w:style w:type="character" w:styleId="903" w:customStyle="1">
    <w:name w:val="Текст выноски Знак1"/>
    <w:basedOn w:val="844"/>
    <w:uiPriority w:val="99"/>
    <w:semiHidden/>
    <w:qFormat/>
    <w:rPr>
      <w:rFonts w:ascii="Tahoma" w:hAnsi="Tahoma" w:cs="Tahoma"/>
      <w:sz w:val="16"/>
      <w:szCs w:val="16"/>
    </w:rPr>
  </w:style>
  <w:style w:type="paragraph" w:styleId="904" w:customStyle="1">
    <w:name w:val="Заголовок"/>
    <w:basedOn w:val="834"/>
    <w:next w:val="90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5">
    <w:name w:val="Body Text"/>
    <w:basedOn w:val="834"/>
    <w:pPr>
      <w:spacing w:after="140" w:line="276" w:lineRule="auto"/>
    </w:pPr>
  </w:style>
  <w:style w:type="paragraph" w:styleId="906">
    <w:name w:val="List"/>
    <w:basedOn w:val="905"/>
    <w:rPr>
      <w:rFonts w:cs="Lucida Sans"/>
    </w:rPr>
  </w:style>
  <w:style w:type="paragraph" w:styleId="907">
    <w:name w:val="Caption"/>
    <w:basedOn w:val="834"/>
    <w:qFormat/>
    <w:pPr>
      <w:spacing w:before="120" w:after="120"/>
    </w:pPr>
    <w:rPr>
      <w:rFonts w:cs="Lucida Sans"/>
      <w:i/>
      <w:iCs/>
    </w:rPr>
  </w:style>
  <w:style w:type="paragraph" w:styleId="908">
    <w:name w:val="index heading"/>
    <w:basedOn w:val="834"/>
    <w:qFormat/>
    <w:rPr>
      <w:rFonts w:cs="Arial Unicode MS"/>
    </w:rPr>
  </w:style>
  <w:style w:type="paragraph" w:styleId="909" w:customStyle="1">
    <w:name w:val="Название объекта1"/>
    <w:basedOn w:val="834"/>
    <w:qFormat/>
    <w:pPr>
      <w:spacing w:before="120" w:after="120"/>
    </w:pPr>
    <w:rPr>
      <w:rFonts w:cs="Arial Unicode MS"/>
      <w:i/>
      <w:iCs/>
    </w:rPr>
  </w:style>
  <w:style w:type="paragraph" w:styleId="910">
    <w:name w:val="List Paragraph"/>
    <w:basedOn w:val="834"/>
    <w:uiPriority w:val="34"/>
    <w:qFormat/>
    <w:pPr>
      <w:contextualSpacing/>
      <w:ind w:left="720"/>
    </w:pPr>
  </w:style>
  <w:style w:type="paragraph" w:styleId="911">
    <w:name w:val="No Spacing"/>
    <w:uiPriority w:val="1"/>
    <w:qFormat/>
    <w:rPr>
      <w:sz w:val="24"/>
      <w:highlight w:val="white"/>
    </w:rPr>
  </w:style>
  <w:style w:type="paragraph" w:styleId="912">
    <w:name w:val="Title"/>
    <w:basedOn w:val="834"/>
    <w:next w:val="83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913">
    <w:name w:val="Subtitle"/>
    <w:basedOn w:val="834"/>
    <w:next w:val="834"/>
    <w:uiPriority w:val="11"/>
    <w:qFormat/>
    <w:pPr>
      <w:spacing w:before="200" w:after="200"/>
    </w:pPr>
  </w:style>
  <w:style w:type="paragraph" w:styleId="914">
    <w:name w:val="Quote"/>
    <w:basedOn w:val="834"/>
    <w:next w:val="834"/>
    <w:uiPriority w:val="29"/>
    <w:qFormat/>
    <w:pPr>
      <w:ind w:left="720" w:right="720"/>
    </w:pPr>
    <w:rPr>
      <w:i/>
    </w:rPr>
  </w:style>
  <w:style w:type="paragraph" w:styleId="915">
    <w:name w:val="Intense Quote"/>
    <w:basedOn w:val="834"/>
    <w:next w:val="83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16">
    <w:name w:val="footnote text"/>
    <w:basedOn w:val="834"/>
    <w:uiPriority w:val="99"/>
    <w:semiHidden/>
    <w:unhideWhenUsed/>
    <w:pPr>
      <w:spacing w:after="40"/>
    </w:pPr>
    <w:rPr>
      <w:sz w:val="18"/>
    </w:rPr>
  </w:style>
  <w:style w:type="paragraph" w:styleId="917">
    <w:name w:val="toc 1"/>
    <w:basedOn w:val="834"/>
    <w:next w:val="834"/>
    <w:uiPriority w:val="39"/>
    <w:unhideWhenUsed/>
    <w:pPr>
      <w:spacing w:after="57"/>
    </w:pPr>
  </w:style>
  <w:style w:type="paragraph" w:styleId="918">
    <w:name w:val="toc 2"/>
    <w:basedOn w:val="834"/>
    <w:next w:val="834"/>
    <w:uiPriority w:val="39"/>
    <w:unhideWhenUsed/>
    <w:pPr>
      <w:ind w:left="283"/>
      <w:spacing w:after="57"/>
    </w:pPr>
  </w:style>
  <w:style w:type="paragraph" w:styleId="919">
    <w:name w:val="toc 3"/>
    <w:basedOn w:val="834"/>
    <w:next w:val="834"/>
    <w:uiPriority w:val="39"/>
    <w:unhideWhenUsed/>
    <w:pPr>
      <w:ind w:left="567"/>
      <w:spacing w:after="57"/>
    </w:pPr>
  </w:style>
  <w:style w:type="paragraph" w:styleId="920">
    <w:name w:val="toc 4"/>
    <w:basedOn w:val="834"/>
    <w:next w:val="834"/>
    <w:uiPriority w:val="39"/>
    <w:unhideWhenUsed/>
    <w:pPr>
      <w:ind w:left="850"/>
      <w:spacing w:after="57"/>
    </w:pPr>
  </w:style>
  <w:style w:type="paragraph" w:styleId="921">
    <w:name w:val="toc 5"/>
    <w:basedOn w:val="834"/>
    <w:next w:val="834"/>
    <w:uiPriority w:val="39"/>
    <w:unhideWhenUsed/>
    <w:pPr>
      <w:ind w:left="1134"/>
      <w:spacing w:after="57"/>
    </w:pPr>
  </w:style>
  <w:style w:type="paragraph" w:styleId="922">
    <w:name w:val="toc 6"/>
    <w:basedOn w:val="834"/>
    <w:next w:val="834"/>
    <w:uiPriority w:val="39"/>
    <w:unhideWhenUsed/>
    <w:pPr>
      <w:ind w:left="1417"/>
      <w:spacing w:after="57"/>
    </w:pPr>
  </w:style>
  <w:style w:type="paragraph" w:styleId="923">
    <w:name w:val="toc 7"/>
    <w:basedOn w:val="834"/>
    <w:next w:val="834"/>
    <w:uiPriority w:val="39"/>
    <w:unhideWhenUsed/>
    <w:pPr>
      <w:ind w:left="1701"/>
      <w:spacing w:after="57"/>
    </w:pPr>
  </w:style>
  <w:style w:type="paragraph" w:styleId="924">
    <w:name w:val="toc 8"/>
    <w:basedOn w:val="834"/>
    <w:next w:val="834"/>
    <w:uiPriority w:val="39"/>
    <w:unhideWhenUsed/>
    <w:pPr>
      <w:ind w:left="1984"/>
      <w:spacing w:after="57"/>
    </w:pPr>
  </w:style>
  <w:style w:type="paragraph" w:styleId="925">
    <w:name w:val="toc 9"/>
    <w:basedOn w:val="834"/>
    <w:next w:val="834"/>
    <w:uiPriority w:val="39"/>
    <w:unhideWhenUsed/>
    <w:pPr>
      <w:ind w:left="2268"/>
      <w:spacing w:after="57"/>
    </w:pPr>
  </w:style>
  <w:style w:type="paragraph" w:styleId="926">
    <w:name w:val="TOC Heading"/>
    <w:uiPriority w:val="39"/>
    <w:unhideWhenUsed/>
    <w:qFormat/>
    <w:rPr>
      <w:sz w:val="24"/>
      <w:highlight w:val="white"/>
    </w:rPr>
  </w:style>
  <w:style w:type="paragraph" w:styleId="927" w:customStyle="1">
    <w:name w:val="Указатель1"/>
    <w:basedOn w:val="834"/>
    <w:qFormat/>
    <w:rPr>
      <w:rFonts w:cs="Lucida Sans"/>
    </w:rPr>
  </w:style>
  <w:style w:type="paragraph" w:styleId="928">
    <w:name w:val="Body Text Indent"/>
    <w:basedOn w:val="834"/>
    <w:pPr>
      <w:ind w:left="283"/>
      <w:spacing w:after="120"/>
    </w:pPr>
  </w:style>
  <w:style w:type="paragraph" w:styleId="929" w:customStyle="1">
    <w:name w:val="Абзац списка1"/>
    <w:basedOn w:val="834"/>
    <w:qFormat/>
    <w:pPr>
      <w:ind w:left="708"/>
      <w:jc w:val="both"/>
      <w:spacing w:line="276" w:lineRule="auto"/>
    </w:pPr>
    <w:rPr>
      <w:sz w:val="28"/>
      <w:szCs w:val="28"/>
    </w:rPr>
  </w:style>
  <w:style w:type="paragraph" w:styleId="930" w:customStyle="1">
    <w:name w:val="Список – Знак"/>
    <w:basedOn w:val="834"/>
    <w:qFormat/>
    <w:pPr>
      <w:jc w:val="both"/>
      <w:spacing w:line="276" w:lineRule="auto"/>
    </w:pPr>
    <w:rPr>
      <w:rFonts w:ascii="Calibri" w:hAnsi="Calibri" w:eastAsia="Calibri" w:cs="font203"/>
      <w:sz w:val="22"/>
      <w:szCs w:val="22"/>
    </w:rPr>
  </w:style>
  <w:style w:type="paragraph" w:styleId="931" w:customStyle="1">
    <w:name w:val="Default"/>
    <w:qFormat/>
    <w:rPr>
      <w:rFonts w:eastAsia="Calibri"/>
      <w:color w:val="000000"/>
      <w:sz w:val="24"/>
      <w:szCs w:val="24"/>
      <w:highlight w:val="white"/>
      <w:lang w:eastAsia="en-US"/>
    </w:rPr>
  </w:style>
  <w:style w:type="paragraph" w:styleId="932" w:customStyle="1">
    <w:name w:val="Верхний и нижний колонтитулы"/>
    <w:basedOn w:val="834"/>
    <w:qFormat/>
  </w:style>
  <w:style w:type="paragraph" w:styleId="933" w:customStyle="1">
    <w:name w:val="Верхний колонтитул1"/>
    <w:basedOn w:val="834"/>
    <w:qFormat/>
    <w:pPr>
      <w:tabs>
        <w:tab w:val="center" w:pos="4677" w:leader="none"/>
        <w:tab w:val="right" w:pos="9355" w:leader="none"/>
      </w:tabs>
    </w:pPr>
  </w:style>
  <w:style w:type="paragraph" w:styleId="934" w:customStyle="1">
    <w:name w:val="Нижний колонтитул1"/>
    <w:basedOn w:val="834"/>
    <w:qFormat/>
    <w:pPr>
      <w:tabs>
        <w:tab w:val="center" w:pos="4677" w:leader="none"/>
        <w:tab w:val="right" w:pos="9355" w:leader="none"/>
      </w:tabs>
    </w:pPr>
  </w:style>
  <w:style w:type="paragraph" w:styleId="935" w:customStyle="1">
    <w:name w:val="ConsPlusNormal"/>
    <w:qFormat/>
    <w:pPr>
      <w:widowControl w:val="off"/>
    </w:pPr>
    <w:rPr>
      <w:rFonts w:ascii="Arial" w:hAnsi="Arial" w:cs="Arial"/>
      <w:color w:val="00000a"/>
      <w:sz w:val="24"/>
      <w:szCs w:val="20"/>
      <w:highlight w:val="white"/>
    </w:rPr>
  </w:style>
  <w:style w:type="paragraph" w:styleId="936" w:customStyle="1">
    <w:name w:val="Текст выноски Знак2"/>
    <w:basedOn w:val="834"/>
    <w:qFormat/>
    <w:rPr>
      <w:rFonts w:ascii="Segoe UI" w:hAnsi="Segoe UI" w:cs="Segoe UI"/>
      <w:sz w:val="18"/>
      <w:szCs w:val="18"/>
    </w:rPr>
  </w:style>
  <w:style w:type="paragraph" w:styleId="937" w:customStyle="1">
    <w:name w:val="Название таблицы"/>
    <w:basedOn w:val="834"/>
    <w:qFormat/>
    <w:pPr>
      <w:jc w:val="both"/>
      <w:keepNext/>
      <w:spacing w:after="120" w:line="276" w:lineRule="auto"/>
    </w:pPr>
    <w:rPr>
      <w:rFonts w:eastAsia="Calibri"/>
      <w:b/>
      <w:iCs/>
      <w:sz w:val="22"/>
      <w:szCs w:val="28"/>
    </w:rPr>
  </w:style>
  <w:style w:type="paragraph" w:styleId="938" w:customStyle="1">
    <w:name w:val="Название рисунка"/>
    <w:basedOn w:val="834"/>
    <w:qFormat/>
    <w:pPr>
      <w:jc w:val="center"/>
      <w:spacing w:after="360"/>
    </w:pPr>
    <w:rPr>
      <w:b/>
      <w:bCs/>
      <w:sz w:val="28"/>
      <w:szCs w:val="28"/>
    </w:rPr>
  </w:style>
  <w:style w:type="paragraph" w:styleId="939" w:customStyle="1">
    <w:name w:val="обычный2010"/>
    <w:basedOn w:val="834"/>
    <w:qFormat/>
    <w:pPr>
      <w:ind w:firstLine="709"/>
      <w:jc w:val="both"/>
      <w:spacing w:line="360" w:lineRule="auto"/>
    </w:pPr>
    <w:rPr>
      <w:rFonts w:ascii="Arial" w:hAnsi="Arial" w:cs="Arial"/>
      <w:sz w:val="22"/>
      <w:szCs w:val="22"/>
    </w:rPr>
  </w:style>
  <w:style w:type="paragraph" w:styleId="940" w:customStyle="1">
    <w:name w:val="Основной текст (2)"/>
    <w:basedOn w:val="834"/>
    <w:qFormat/>
    <w:pPr>
      <w:jc w:val="right"/>
      <w:spacing w:before="480" w:after="600"/>
      <w:shd w:val="clear" w:color="auto" w:fill="ffffff"/>
      <w:widowControl w:val="off"/>
    </w:pPr>
    <w:rPr>
      <w:sz w:val="21"/>
      <w:szCs w:val="21"/>
      <w:lang w:eastAsia="en-US"/>
    </w:rPr>
  </w:style>
  <w:style w:type="paragraph" w:styleId="941" w:customStyle="1">
    <w:name w:val="Содержимое врезки"/>
    <w:basedOn w:val="834"/>
    <w:qFormat/>
  </w:style>
  <w:style w:type="paragraph" w:styleId="942" w:customStyle="1">
    <w:name w:val="Содержимое таблицы"/>
    <w:basedOn w:val="834"/>
    <w:qFormat/>
  </w:style>
  <w:style w:type="paragraph" w:styleId="943" w:customStyle="1">
    <w:name w:val="Заголовок таблицы"/>
    <w:basedOn w:val="942"/>
    <w:qFormat/>
    <w:pPr>
      <w:jc w:val="center"/>
    </w:pPr>
    <w:rPr>
      <w:b/>
      <w:bCs/>
    </w:rPr>
  </w:style>
  <w:style w:type="paragraph" w:styleId="944" w:customStyle="1">
    <w:name w:val="Обычный1"/>
    <w:qFormat/>
    <w:pPr>
      <w:spacing w:before="100" w:after="100"/>
    </w:pPr>
    <w:rPr>
      <w:rFonts w:eastAsia="Arial" w:cs="Courier New"/>
      <w:color w:val="00000a"/>
      <w:sz w:val="24"/>
      <w:szCs w:val="24"/>
      <w:highlight w:val="white"/>
      <w:lang w:eastAsia="en-US"/>
    </w:rPr>
  </w:style>
  <w:style w:type="paragraph" w:styleId="945" w:customStyle="1">
    <w:name w:val="Definition Term"/>
    <w:basedOn w:val="944"/>
    <w:qFormat/>
  </w:style>
  <w:style w:type="paragraph" w:styleId="946" w:customStyle="1">
    <w:name w:val="Definition List"/>
    <w:basedOn w:val="944"/>
    <w:qFormat/>
    <w:pPr>
      <w:ind w:left="360"/>
    </w:pPr>
  </w:style>
  <w:style w:type="paragraph" w:styleId="947" w:customStyle="1">
    <w:name w:val="H1"/>
    <w:basedOn w:val="944"/>
    <w:qFormat/>
    <w:pPr>
      <w:keepNext/>
    </w:pPr>
    <w:rPr>
      <w:b/>
      <w:sz w:val="48"/>
    </w:rPr>
  </w:style>
  <w:style w:type="paragraph" w:styleId="948" w:customStyle="1">
    <w:name w:val="H2"/>
    <w:basedOn w:val="944"/>
    <w:qFormat/>
    <w:pPr>
      <w:keepNext/>
    </w:pPr>
    <w:rPr>
      <w:b/>
      <w:sz w:val="36"/>
    </w:rPr>
  </w:style>
  <w:style w:type="paragraph" w:styleId="949" w:customStyle="1">
    <w:name w:val="H3"/>
    <w:basedOn w:val="944"/>
    <w:qFormat/>
    <w:pPr>
      <w:keepNext/>
    </w:pPr>
    <w:rPr>
      <w:b/>
      <w:sz w:val="28"/>
    </w:rPr>
  </w:style>
  <w:style w:type="paragraph" w:styleId="950" w:customStyle="1">
    <w:name w:val="H4"/>
    <w:basedOn w:val="944"/>
    <w:qFormat/>
    <w:pPr>
      <w:keepNext/>
    </w:pPr>
    <w:rPr>
      <w:b/>
    </w:rPr>
  </w:style>
  <w:style w:type="paragraph" w:styleId="951" w:customStyle="1">
    <w:name w:val="H5"/>
    <w:basedOn w:val="944"/>
    <w:qFormat/>
    <w:pPr>
      <w:keepNext/>
    </w:pPr>
    <w:rPr>
      <w:b/>
      <w:sz w:val="20"/>
    </w:rPr>
  </w:style>
  <w:style w:type="paragraph" w:styleId="952" w:customStyle="1">
    <w:name w:val="H6"/>
    <w:basedOn w:val="944"/>
    <w:qFormat/>
    <w:pPr>
      <w:keepNext/>
    </w:pPr>
    <w:rPr>
      <w:b/>
      <w:sz w:val="16"/>
    </w:rPr>
  </w:style>
  <w:style w:type="paragraph" w:styleId="953" w:customStyle="1">
    <w:name w:val="Address"/>
    <w:basedOn w:val="944"/>
    <w:qFormat/>
    <w:rPr>
      <w:i/>
    </w:rPr>
  </w:style>
  <w:style w:type="paragraph" w:styleId="954" w:customStyle="1">
    <w:name w:val="Blockquote"/>
    <w:basedOn w:val="944"/>
    <w:qFormat/>
    <w:pPr>
      <w:ind w:left="360" w:right="360"/>
    </w:pPr>
  </w:style>
  <w:style w:type="paragraph" w:styleId="955" w:customStyle="1">
    <w:name w:val="Preformatted"/>
    <w:basedOn w:val="944"/>
    <w:qFormat/>
    <w:pPr>
      <w:spacing w:before="0" w:after="0"/>
      <w:tabs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/>
      <w:sz w:val="20"/>
    </w:rPr>
  </w:style>
  <w:style w:type="paragraph" w:styleId="956" w:customStyle="1">
    <w:name w:val="z-Bottom of Form"/>
    <w:qFormat/>
    <w:pPr>
      <w:jc w:val="center"/>
      <w:pBdr>
        <w:top w:val="single" w:color="000001" w:sz="2" w:space="0"/>
      </w:pBdr>
    </w:pPr>
    <w:rPr>
      <w:rFonts w:ascii="Arial" w:hAnsi="Arial" w:eastAsia="Arial" w:cs="Courier New"/>
      <w:vanish/>
      <w:color w:val="00000a"/>
      <w:sz w:val="16"/>
      <w:szCs w:val="24"/>
      <w:highlight w:val="white"/>
      <w:lang w:eastAsia="en-US"/>
    </w:rPr>
  </w:style>
  <w:style w:type="paragraph" w:styleId="957" w:customStyle="1">
    <w:name w:val="z-Top of Form"/>
    <w:qFormat/>
    <w:pPr>
      <w:jc w:val="center"/>
      <w:pBdr>
        <w:bottom w:val="single" w:color="000001" w:sz="2" w:space="0"/>
      </w:pBdr>
    </w:pPr>
    <w:rPr>
      <w:rFonts w:ascii="Arial" w:hAnsi="Arial" w:eastAsia="Arial" w:cs="Courier New"/>
      <w:vanish/>
      <w:color w:val="00000a"/>
      <w:sz w:val="16"/>
      <w:szCs w:val="24"/>
      <w:highlight w:val="white"/>
      <w:lang w:eastAsia="en-US"/>
    </w:rPr>
  </w:style>
  <w:style w:type="paragraph" w:styleId="958">
    <w:name w:val="Balloon Text"/>
    <w:basedOn w:val="83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959" w:customStyle="1">
    <w:name w:val="ConsPlusTitle"/>
    <w:qFormat/>
    <w:pPr>
      <w:widowControl w:val="off"/>
    </w:pPr>
    <w:rPr>
      <w:rFonts w:ascii="Calibri" w:hAnsi="Calibri" w:cs="Calibri"/>
      <w:b/>
      <w:color w:val="00000a"/>
      <w:sz w:val="22"/>
      <w:szCs w:val="20"/>
      <w:highlight w:val="white"/>
    </w:rPr>
  </w:style>
  <w:style w:type="paragraph" w:styleId="960">
    <w:name w:val="Footer"/>
    <w:basedOn w:val="932"/>
  </w:style>
  <w:style w:type="table" w:styleId="961">
    <w:name w:val="Table Grid"/>
    <w:basedOn w:val="845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2" w:customStyle="1">
    <w:name w:val="Lined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/>
      </w:tcPr>
    </w:tblStylePr>
    <w:tblStylePr w:type="band2Vert">
      <w:rPr>
        <w:color w:val="404040"/>
        <w:sz w:val="22"/>
      </w:rPr>
      <w:tcPr>
        <w:shd w:val="clear" w:color="auto" w:fill="f2f2f2"/>
      </w:tcPr>
    </w:tblStylePr>
    <w:tblStylePr w:type="firstCol">
      <w:rPr>
        <w:color w:val="f2f2f2"/>
        <w:sz w:val="22"/>
      </w:rPr>
      <w:tcPr>
        <w:shd w:val="clear" w:color="auto" w:fill="7f7f7f"/>
      </w:tcPr>
    </w:tblStylePr>
    <w:tblStylePr w:type="firstRow">
      <w:rPr>
        <w:color w:val="f2f2f2"/>
        <w:sz w:val="22"/>
      </w:rPr>
      <w:tcPr>
        <w:shd w:val="clear" w:color="auto" w:fill="7f7f7f"/>
      </w:tcPr>
    </w:tblStylePr>
    <w:tblStylePr w:type="lastCol">
      <w:rPr>
        <w:color w:val="f2f2f2"/>
        <w:sz w:val="22"/>
      </w:rPr>
      <w:tcPr>
        <w:shd w:val="clear" w:color="auto" w:fill="7f7f7f"/>
      </w:tcPr>
    </w:tblStylePr>
    <w:tblStylePr w:type="lastRow">
      <w:rPr>
        <w:color w:val="f2f2f2"/>
        <w:sz w:val="22"/>
      </w:rPr>
      <w:tcPr>
        <w:shd w:val="clear" w:color="auto" w:fill="7f7f7f"/>
      </w:tcPr>
    </w:tblStylePr>
  </w:style>
  <w:style w:type="table" w:styleId="963" w:customStyle="1">
    <w:name w:val="Lined - Accent 1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6d9f1"/>
      </w:tcPr>
    </w:tblStylePr>
    <w:tblStylePr w:type="band2Vert">
      <w:rPr>
        <w:color w:val="404040"/>
        <w:sz w:val="22"/>
      </w:rPr>
      <w:tcPr>
        <w:shd w:val="clear" w:color="auto" w:fill="c6d9f1"/>
      </w:tcPr>
    </w:tblStylePr>
    <w:tblStylePr w:type="firstCol">
      <w:rPr>
        <w:color w:val="f2f2f2"/>
        <w:sz w:val="22"/>
      </w:rPr>
      <w:tcPr>
        <w:shd w:val="clear" w:color="auto" w:fill="548dd4"/>
      </w:tcPr>
    </w:tblStylePr>
    <w:tblStylePr w:type="firstRow">
      <w:rPr>
        <w:color w:val="f2f2f2"/>
        <w:sz w:val="22"/>
      </w:rPr>
      <w:tcPr>
        <w:shd w:val="clear" w:color="auto" w:fill="548dd4"/>
      </w:tcPr>
    </w:tblStylePr>
    <w:tblStylePr w:type="lastCol">
      <w:rPr>
        <w:color w:val="f2f2f2"/>
        <w:sz w:val="22"/>
      </w:rPr>
      <w:tcPr>
        <w:shd w:val="clear" w:color="auto" w:fill="548dd4"/>
      </w:tcPr>
    </w:tblStylePr>
    <w:tblStylePr w:type="lastRow">
      <w:rPr>
        <w:color w:val="f2f2f2"/>
        <w:sz w:val="22"/>
      </w:rPr>
      <w:tcPr>
        <w:shd w:val="clear" w:color="auto" w:fill="548dd4"/>
      </w:tcPr>
    </w:tblStylePr>
  </w:style>
  <w:style w:type="table" w:styleId="964" w:customStyle="1">
    <w:name w:val="Lined - Accent 2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bdb"/>
      </w:tcPr>
    </w:tblStylePr>
    <w:tblStylePr w:type="band2Vert">
      <w:rPr>
        <w:color w:val="404040"/>
        <w:sz w:val="22"/>
      </w:rPr>
      <w:tcPr>
        <w:shd w:val="clear" w:color="auto" w:fill="f2dbdb"/>
      </w:tcPr>
    </w:tblStylePr>
    <w:tblStylePr w:type="firstCol">
      <w:rPr>
        <w:color w:val="f2f2f2"/>
        <w:sz w:val="22"/>
      </w:rPr>
      <w:tcPr>
        <w:shd w:val="clear" w:color="auto" w:fill="d99594"/>
      </w:tcPr>
    </w:tblStylePr>
    <w:tblStylePr w:type="firstRow">
      <w:rPr>
        <w:color w:val="f2f2f2"/>
        <w:sz w:val="22"/>
      </w:rPr>
      <w:tcPr>
        <w:shd w:val="clear" w:color="auto" w:fill="d99594"/>
      </w:tcPr>
    </w:tblStylePr>
    <w:tblStylePr w:type="lastCol">
      <w:rPr>
        <w:color w:val="f2f2f2"/>
        <w:sz w:val="22"/>
      </w:rPr>
      <w:tcPr>
        <w:shd w:val="clear" w:color="auto" w:fill="d99594"/>
      </w:tcPr>
    </w:tblStylePr>
    <w:tblStylePr w:type="lastRow">
      <w:rPr>
        <w:color w:val="f2f2f2"/>
        <w:sz w:val="22"/>
      </w:rPr>
      <w:tcPr>
        <w:shd w:val="clear" w:color="auto" w:fill="d99594"/>
      </w:tcPr>
    </w:tblStylePr>
  </w:style>
  <w:style w:type="table" w:styleId="965" w:customStyle="1">
    <w:name w:val="Lined - Accent 3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d"/>
      </w:tcPr>
    </w:tblStylePr>
    <w:tblStylePr w:type="band2Vert">
      <w:rPr>
        <w:color w:val="404040"/>
        <w:sz w:val="22"/>
      </w:rPr>
      <w:tcPr>
        <w:shd w:val="clear" w:color="auto" w:fill="eaf1dd"/>
      </w:tcPr>
    </w:tblStylePr>
    <w:tblStylePr w:type="firstCol">
      <w:rPr>
        <w:color w:val="f2f2f2"/>
        <w:sz w:val="22"/>
      </w:rPr>
      <w:tcPr>
        <w:shd w:val="clear" w:color="auto" w:fill="9bb559"/>
      </w:tcPr>
    </w:tblStylePr>
    <w:tblStylePr w:type="firstRow">
      <w:rPr>
        <w:color w:val="f2f2f2"/>
        <w:sz w:val="22"/>
      </w:rPr>
      <w:tcPr>
        <w:shd w:val="clear" w:color="auto" w:fill="9bb559"/>
      </w:tcPr>
    </w:tblStylePr>
    <w:tblStylePr w:type="lastCol">
      <w:rPr>
        <w:color w:val="f2f2f2"/>
        <w:sz w:val="22"/>
      </w:rPr>
      <w:tcPr>
        <w:shd w:val="clear" w:color="auto" w:fill="9bb559"/>
      </w:tcPr>
    </w:tblStylePr>
    <w:tblStylePr w:type="lastRow">
      <w:rPr>
        <w:color w:val="f2f2f2"/>
        <w:sz w:val="22"/>
      </w:rPr>
      <w:tcPr>
        <w:shd w:val="clear" w:color="auto" w:fill="9bb559"/>
      </w:tcPr>
    </w:tblStylePr>
  </w:style>
  <w:style w:type="table" w:styleId="966" w:customStyle="1">
    <w:name w:val="Lined - Accent 4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/>
      </w:tcPr>
    </w:tblStylePr>
    <w:tblStylePr w:type="band2Vert">
      <w:rPr>
        <w:color w:val="404040"/>
        <w:sz w:val="22"/>
      </w:rPr>
      <w:tcPr>
        <w:shd w:val="clear" w:color="auto" w:fill="e5dfec"/>
      </w:tcPr>
    </w:tblStylePr>
    <w:tblStylePr w:type="firstCol">
      <w:rPr>
        <w:color w:val="f2f2f2"/>
        <w:sz w:val="22"/>
      </w:rPr>
      <w:tcPr>
        <w:shd w:val="clear" w:color="auto" w:fill="b2a1c7"/>
      </w:tcPr>
    </w:tblStylePr>
    <w:tblStylePr w:type="firstRow">
      <w:rPr>
        <w:color w:val="f2f2f2"/>
        <w:sz w:val="22"/>
      </w:rPr>
      <w:tcPr>
        <w:shd w:val="clear" w:color="auto" w:fill="b2a1c7"/>
      </w:tcPr>
    </w:tblStylePr>
    <w:tblStylePr w:type="lastCol">
      <w:rPr>
        <w:color w:val="f2f2f2"/>
        <w:sz w:val="22"/>
      </w:rPr>
      <w:tcPr>
        <w:shd w:val="clear" w:color="auto" w:fill="b2a1c7"/>
      </w:tcPr>
    </w:tblStylePr>
    <w:tblStylePr w:type="lastRow">
      <w:rPr>
        <w:color w:val="f2f2f2"/>
        <w:sz w:val="22"/>
      </w:rPr>
      <w:tcPr>
        <w:shd w:val="clear" w:color="auto" w:fill="b2a1c7"/>
      </w:tcPr>
    </w:tblStylePr>
  </w:style>
  <w:style w:type="table" w:styleId="967" w:customStyle="1">
    <w:name w:val="Lined - Accent 5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/>
      </w:tcPr>
    </w:tblStylePr>
    <w:tblStylePr w:type="band2Vert">
      <w:rPr>
        <w:color w:val="404040"/>
        <w:sz w:val="22"/>
      </w:rPr>
      <w:tcPr>
        <w:shd w:val="clear" w:color="auto" w:fill="daeef3"/>
      </w:tcPr>
    </w:tblStylePr>
    <w:tblStylePr w:type="firstCol">
      <w:rPr>
        <w:color w:val="f2f2f2"/>
        <w:sz w:val="22"/>
      </w:rPr>
      <w:tcPr>
        <w:shd w:val="clear" w:color="auto" w:fill="4bacc6"/>
      </w:tcPr>
    </w:tblStylePr>
    <w:tblStylePr w:type="firstRow">
      <w:rPr>
        <w:color w:val="f2f2f2"/>
        <w:sz w:val="22"/>
      </w:rPr>
      <w:tcPr>
        <w:shd w:val="clear" w:color="auto" w:fill="4bacc6"/>
      </w:tcPr>
    </w:tblStylePr>
    <w:tblStylePr w:type="lastCol">
      <w:rPr>
        <w:color w:val="f2f2f2"/>
        <w:sz w:val="22"/>
      </w:rPr>
      <w:tcPr>
        <w:shd w:val="clear" w:color="auto" w:fill="4bacc6"/>
      </w:tcPr>
    </w:tblStylePr>
    <w:tblStylePr w:type="lastRow">
      <w:rPr>
        <w:color w:val="f2f2f2"/>
        <w:sz w:val="22"/>
      </w:rPr>
      <w:tcPr>
        <w:shd w:val="clear" w:color="auto" w:fill="4bacc6"/>
      </w:tcPr>
    </w:tblStylePr>
  </w:style>
  <w:style w:type="table" w:styleId="968" w:customStyle="1">
    <w:name w:val="Lined - Accent 6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9"/>
      </w:tcPr>
    </w:tblStylePr>
    <w:tblStylePr w:type="band2Vert">
      <w:rPr>
        <w:color w:val="404040"/>
        <w:sz w:val="22"/>
      </w:rPr>
      <w:tcPr>
        <w:shd w:val="clear" w:color="auto" w:fill="fde9d9"/>
      </w:tcPr>
    </w:tblStylePr>
    <w:tblStylePr w:type="firstCol">
      <w:rPr>
        <w:color w:val="f2f2f2"/>
        <w:sz w:val="22"/>
      </w:rPr>
      <w:tcPr>
        <w:shd w:val="clear" w:color="auto" w:fill="f79646"/>
      </w:tcPr>
    </w:tblStylePr>
    <w:tblStylePr w:type="firstRow">
      <w:rPr>
        <w:color w:val="f2f2f2"/>
        <w:sz w:val="22"/>
      </w:rPr>
      <w:tcPr>
        <w:shd w:val="clear" w:color="auto" w:fill="f79646"/>
      </w:tcPr>
    </w:tblStylePr>
    <w:tblStylePr w:type="lastCol">
      <w:rPr>
        <w:color w:val="f2f2f2"/>
        <w:sz w:val="22"/>
      </w:rPr>
      <w:tcPr>
        <w:shd w:val="clear" w:color="auto" w:fill="f79646"/>
      </w:tcPr>
    </w:tblStylePr>
    <w:tblStylePr w:type="lastRow">
      <w:rPr>
        <w:color w:val="f2f2f2"/>
        <w:sz w:val="22"/>
      </w:rPr>
      <w:tcPr>
        <w:shd w:val="clear" w:color="auto" w:fill="f79646"/>
      </w:tcPr>
    </w:tblStylePr>
  </w:style>
  <w:style w:type="table" w:styleId="969" w:customStyle="1">
    <w:name w:val="Bordered"/>
    <w:basedOn w:val="845"/>
    <w:uiPriority w:val="99"/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970" w:customStyle="1">
    <w:name w:val="Bordered - Accent 1"/>
    <w:basedOn w:val="845"/>
    <w:uiPriority w:val="99"/>
    <w:tblPr>
      <w:tblStyleRowBandSize w:val="1"/>
      <w:tblStyleColBandSize w:val="1"/>
      <w:tblInd w:w="0" w:type="dxa"/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971" w:customStyle="1">
    <w:name w:val="Bordered - Accent 2"/>
    <w:basedOn w:val="845"/>
    <w:uiPriority w:val="99"/>
    <w:tblPr>
      <w:tblStyleRowBandSize w:val="1"/>
      <w:tblStyleColBandSize w:val="1"/>
      <w:tblInd w:w="0" w:type="dxa"/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972" w:customStyle="1">
    <w:name w:val="Bordered - Accent 3"/>
    <w:basedOn w:val="845"/>
    <w:uiPriority w:val="99"/>
    <w:tblPr>
      <w:tblStyleRowBandSize w:val="1"/>
      <w:tblStyleColBandSize w:val="1"/>
      <w:tblInd w:w="0" w:type="dxa"/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973" w:customStyle="1">
    <w:name w:val="Bordered - Accent 4"/>
    <w:basedOn w:val="845"/>
    <w:uiPriority w:val="99"/>
    <w:tblPr>
      <w:tblStyleRowBandSize w:val="1"/>
      <w:tblStyleColBandSize w:val="1"/>
      <w:tblInd w:w="0" w:type="dxa"/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974" w:customStyle="1">
    <w:name w:val="Bordered - Accent 5"/>
    <w:basedOn w:val="845"/>
    <w:uiPriority w:val="99"/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975" w:customStyle="1">
    <w:name w:val="Bordered - Accent 6"/>
    <w:basedOn w:val="845"/>
    <w:uiPriority w:val="99"/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976" w:customStyle="1">
    <w:name w:val="Bordered &amp; Lined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/>
      </w:tcPr>
    </w:tblStylePr>
    <w:tblStylePr w:type="band2Vert">
      <w:rPr>
        <w:color w:val="404040"/>
        <w:sz w:val="22"/>
      </w:rPr>
      <w:tcPr>
        <w:shd w:val="clear" w:color="auto" w:fill="d9d9d9"/>
      </w:tcPr>
    </w:tblStylePr>
    <w:tblStylePr w:type="firstCol">
      <w:rPr>
        <w:color w:val="f2f2f2"/>
        <w:sz w:val="22"/>
      </w:rPr>
      <w:tcPr>
        <w:shd w:val="clear" w:color="auto" w:fill="7f7f7f"/>
      </w:tcPr>
    </w:tblStylePr>
    <w:tblStylePr w:type="firstRow">
      <w:rPr>
        <w:color w:val="f2f2f2"/>
        <w:sz w:val="22"/>
      </w:rPr>
      <w:tcPr>
        <w:shd w:val="clear" w:color="auto" w:fill="7f7f7f"/>
      </w:tcPr>
    </w:tblStylePr>
    <w:tblStylePr w:type="lastCol">
      <w:rPr>
        <w:color w:val="f2f2f2"/>
        <w:sz w:val="22"/>
      </w:rPr>
      <w:tcPr>
        <w:shd w:val="clear" w:color="auto" w:fill="7f7f7f"/>
      </w:tcPr>
    </w:tblStylePr>
    <w:tblStylePr w:type="lastRow">
      <w:rPr>
        <w:color w:val="f2f2f2"/>
        <w:sz w:val="22"/>
      </w:rPr>
      <w:tcPr>
        <w:shd w:val="clear" w:color="auto" w:fill="7f7f7f"/>
      </w:tcPr>
    </w:tblStylePr>
  </w:style>
  <w:style w:type="table" w:styleId="977" w:customStyle="1">
    <w:name w:val="Bordered &amp; Lined - Accent 1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6d9f1"/>
      </w:tcPr>
    </w:tblStylePr>
    <w:tblStylePr w:type="band2Vert">
      <w:rPr>
        <w:color w:val="404040"/>
        <w:sz w:val="22"/>
      </w:rPr>
      <w:tcPr>
        <w:shd w:val="clear" w:color="auto" w:fill="c6d9f1"/>
      </w:tcPr>
    </w:tblStylePr>
    <w:tblStylePr w:type="firstCol">
      <w:rPr>
        <w:color w:val="f2f2f2"/>
        <w:sz w:val="22"/>
      </w:rPr>
      <w:tcPr>
        <w:shd w:val="clear" w:color="auto" w:fill="548dd4"/>
      </w:tcPr>
    </w:tblStylePr>
    <w:tblStylePr w:type="firstRow">
      <w:rPr>
        <w:color w:val="f2f2f2"/>
        <w:sz w:val="22"/>
      </w:rPr>
      <w:tcPr>
        <w:shd w:val="clear" w:color="auto" w:fill="548dd4"/>
      </w:tcPr>
    </w:tblStylePr>
    <w:tblStylePr w:type="lastCol">
      <w:rPr>
        <w:color w:val="f2f2f2"/>
        <w:sz w:val="22"/>
      </w:rPr>
      <w:tcPr>
        <w:shd w:val="clear" w:color="auto" w:fill="548dd4"/>
      </w:tcPr>
    </w:tblStylePr>
    <w:tblStylePr w:type="lastRow">
      <w:rPr>
        <w:color w:val="f2f2f2"/>
        <w:sz w:val="22"/>
      </w:rPr>
      <w:tcPr>
        <w:shd w:val="clear" w:color="auto" w:fill="548dd4"/>
      </w:tcPr>
    </w:tblStylePr>
  </w:style>
  <w:style w:type="table" w:styleId="978" w:customStyle="1">
    <w:name w:val="Bordered &amp; Lined - Accent 2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bdb"/>
      </w:tcPr>
    </w:tblStylePr>
    <w:tblStylePr w:type="band2Vert">
      <w:rPr>
        <w:color w:val="404040"/>
        <w:sz w:val="22"/>
      </w:rPr>
      <w:tcPr>
        <w:shd w:val="clear" w:color="auto" w:fill="f2dbdb"/>
      </w:tcPr>
    </w:tblStylePr>
    <w:tblStylePr w:type="firstCol">
      <w:rPr>
        <w:color w:val="f2f2f2"/>
        <w:sz w:val="22"/>
      </w:rPr>
      <w:tcPr>
        <w:shd w:val="clear" w:color="auto" w:fill="d99594"/>
      </w:tcPr>
    </w:tblStylePr>
    <w:tblStylePr w:type="firstRow">
      <w:rPr>
        <w:color w:val="f2f2f2"/>
        <w:sz w:val="22"/>
      </w:rPr>
      <w:tcPr>
        <w:shd w:val="clear" w:color="auto" w:fill="d99594"/>
      </w:tcPr>
    </w:tblStylePr>
    <w:tblStylePr w:type="lastCol">
      <w:rPr>
        <w:color w:val="f2f2f2"/>
        <w:sz w:val="22"/>
      </w:rPr>
      <w:tcPr>
        <w:shd w:val="clear" w:color="auto" w:fill="d99594"/>
      </w:tcPr>
    </w:tblStylePr>
    <w:tblStylePr w:type="lastRow">
      <w:rPr>
        <w:color w:val="f2f2f2"/>
        <w:sz w:val="22"/>
      </w:rPr>
      <w:tcPr>
        <w:shd w:val="clear" w:color="auto" w:fill="d99594"/>
      </w:tcPr>
    </w:tblStylePr>
  </w:style>
  <w:style w:type="table" w:styleId="979" w:customStyle="1">
    <w:name w:val="Bordered &amp; Lined - Accent 3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d"/>
      </w:tcPr>
    </w:tblStylePr>
    <w:tblStylePr w:type="band2Vert">
      <w:rPr>
        <w:color w:val="404040"/>
        <w:sz w:val="22"/>
      </w:rPr>
      <w:tcPr>
        <w:shd w:val="clear" w:color="auto" w:fill="eaf1dd"/>
      </w:tcPr>
    </w:tblStylePr>
    <w:tblStylePr w:type="firstCol">
      <w:rPr>
        <w:color w:val="f2f2f2"/>
        <w:sz w:val="22"/>
      </w:rPr>
      <w:tcPr>
        <w:shd w:val="clear" w:color="auto" w:fill="9bbb59"/>
      </w:tcPr>
    </w:tblStylePr>
    <w:tblStylePr w:type="firstRow">
      <w:rPr>
        <w:color w:val="f2f2f2"/>
        <w:sz w:val="22"/>
      </w:rPr>
      <w:tcPr>
        <w:shd w:val="clear" w:color="auto" w:fill="9bbb59"/>
      </w:tcPr>
    </w:tblStylePr>
    <w:tblStylePr w:type="lastCol">
      <w:rPr>
        <w:color w:val="f2f2f2"/>
        <w:sz w:val="22"/>
      </w:rPr>
      <w:tcPr>
        <w:shd w:val="clear" w:color="auto" w:fill="9bbb59"/>
      </w:tcPr>
    </w:tblStylePr>
    <w:tblStylePr w:type="lastRow">
      <w:rPr>
        <w:color w:val="f2f2f2"/>
        <w:sz w:val="22"/>
      </w:rPr>
      <w:tcPr>
        <w:shd w:val="clear" w:color="auto" w:fill="9bbb59"/>
      </w:tcPr>
    </w:tblStylePr>
  </w:style>
  <w:style w:type="table" w:styleId="980" w:customStyle="1">
    <w:name w:val="Bordered &amp; Lined - Accent 4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/>
      </w:tcPr>
    </w:tblStylePr>
    <w:tblStylePr w:type="band2Vert">
      <w:rPr>
        <w:color w:val="404040"/>
        <w:sz w:val="22"/>
      </w:rPr>
      <w:tcPr>
        <w:shd w:val="clear" w:color="auto" w:fill="e5dfec"/>
      </w:tcPr>
    </w:tblStylePr>
    <w:tblStylePr w:type="firstCol">
      <w:rPr>
        <w:color w:val="f2f2f2"/>
        <w:sz w:val="22"/>
      </w:rPr>
      <w:tcPr>
        <w:shd w:val="clear" w:color="auto" w:fill="b2a1c7"/>
      </w:tcPr>
    </w:tblStylePr>
    <w:tblStylePr w:type="firstRow">
      <w:rPr>
        <w:color w:val="f2f2f2"/>
        <w:sz w:val="22"/>
      </w:rPr>
      <w:tcPr>
        <w:shd w:val="clear" w:color="auto" w:fill="b2a1c7"/>
      </w:tcPr>
    </w:tblStylePr>
    <w:tblStylePr w:type="lastCol">
      <w:rPr>
        <w:color w:val="f2f2f2"/>
        <w:sz w:val="22"/>
      </w:rPr>
      <w:tcPr>
        <w:shd w:val="clear" w:color="auto" w:fill="b2a1c7"/>
      </w:tcPr>
    </w:tblStylePr>
    <w:tblStylePr w:type="lastRow">
      <w:rPr>
        <w:color w:val="f2f2f2"/>
        <w:sz w:val="22"/>
      </w:rPr>
      <w:tcPr>
        <w:shd w:val="clear" w:color="auto" w:fill="b2a1c7"/>
      </w:tcPr>
    </w:tblStylePr>
  </w:style>
  <w:style w:type="table" w:styleId="981" w:customStyle="1">
    <w:name w:val="Bordered &amp; Lined - Accent 5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/>
      </w:tcPr>
    </w:tblStylePr>
    <w:tblStylePr w:type="band2Vert">
      <w:rPr>
        <w:color w:val="404040"/>
        <w:sz w:val="22"/>
      </w:rPr>
      <w:tcPr>
        <w:shd w:val="clear" w:color="auto" w:fill="daeef3"/>
      </w:tcPr>
    </w:tblStylePr>
    <w:tblStylePr w:type="firstCol">
      <w:rPr>
        <w:color w:val="f2f2f2"/>
        <w:sz w:val="22"/>
      </w:rPr>
      <w:tcPr>
        <w:shd w:val="clear" w:color="auto" w:fill="4bacc6"/>
      </w:tcPr>
    </w:tblStylePr>
    <w:tblStylePr w:type="firstRow">
      <w:rPr>
        <w:color w:val="f2f2f2"/>
        <w:sz w:val="22"/>
      </w:rPr>
      <w:tcPr>
        <w:shd w:val="clear" w:color="auto" w:fill="4bacc6"/>
      </w:tcPr>
    </w:tblStylePr>
    <w:tblStylePr w:type="lastCol">
      <w:rPr>
        <w:color w:val="f2f2f2"/>
        <w:sz w:val="22"/>
      </w:rPr>
      <w:tcPr>
        <w:shd w:val="clear" w:color="auto" w:fill="4bacc6"/>
      </w:tcPr>
    </w:tblStylePr>
    <w:tblStylePr w:type="lastRow">
      <w:rPr>
        <w:color w:val="f2f2f2"/>
        <w:sz w:val="22"/>
      </w:rPr>
      <w:tcPr>
        <w:shd w:val="clear" w:color="auto" w:fill="4bacc6"/>
      </w:tcPr>
    </w:tblStylePr>
  </w:style>
  <w:style w:type="table" w:styleId="982" w:customStyle="1">
    <w:name w:val="Bordered &amp; Lined - Accent 6"/>
    <w:basedOn w:val="845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9"/>
      </w:tcPr>
    </w:tblStylePr>
    <w:tblStylePr w:type="band2Vert">
      <w:rPr>
        <w:color w:val="404040"/>
        <w:sz w:val="22"/>
      </w:rPr>
      <w:tcPr>
        <w:shd w:val="clear" w:color="auto" w:fill="fde9d9"/>
      </w:tcPr>
    </w:tblStylePr>
    <w:tblStylePr w:type="firstCol">
      <w:rPr>
        <w:color w:val="f2f2f2"/>
        <w:sz w:val="22"/>
      </w:rPr>
      <w:tcPr>
        <w:shd w:val="clear" w:color="auto" w:fill="f79646"/>
      </w:tcPr>
    </w:tblStylePr>
    <w:tblStylePr w:type="firstRow">
      <w:rPr>
        <w:color w:val="f2f2f2"/>
        <w:sz w:val="22"/>
      </w:rPr>
      <w:tcPr>
        <w:shd w:val="clear" w:color="auto" w:fill="f79646"/>
      </w:tcPr>
    </w:tblStylePr>
    <w:tblStylePr w:type="lastCol">
      <w:rPr>
        <w:color w:val="f2f2f2"/>
        <w:sz w:val="22"/>
      </w:rPr>
      <w:tcPr>
        <w:shd w:val="clear" w:color="auto" w:fill="f79646"/>
      </w:tcPr>
    </w:tblStylePr>
    <w:tblStylePr w:type="lastRow">
      <w:rPr>
        <w:color w:val="f2f2f2"/>
        <w:sz w:val="22"/>
      </w:rPr>
      <w:tcPr>
        <w:shd w:val="clear" w:color="auto" w:fill="f79646"/>
      </w:tcPr>
    </w:tblStylePr>
  </w:style>
  <w:style w:type="paragraph" w:styleId="983" w:customStyle="1">
    <w:name w:val="Normal (Web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42" w:afterAutospacing="0" w:line="276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customXml" Target="../customXml/item1.xml" /><Relationship Id="rId15" Type="http://schemas.openxmlformats.org/officeDocument/2006/relationships/chart" Target="charts/chart1.xml" /><Relationship Id="rId16" Type="http://schemas.openxmlformats.org/officeDocument/2006/relationships/chart" Target="charts/chart2.xml" /><Relationship Id="rId17" Type="http://schemas.openxmlformats.org/officeDocument/2006/relationships/chart" Target="charts/chart3.xml" /><Relationship Id="rId18" Type="http://schemas.openxmlformats.org/officeDocument/2006/relationships/chart" Target="charts/chart4.xml" /><Relationship Id="rId19" Type="http://schemas.openxmlformats.org/officeDocument/2006/relationships/chart" Target="charts/chart5.xml" /><Relationship Id="rId20" Type="http://schemas.openxmlformats.org/officeDocument/2006/relationships/chart" Target="charts/chart6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charts/_rels/chart1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.xlsx" /></Relationships>
</file>

<file path=word/charts/_rels/chart2.xml.rels><?xml version="1.0" encoding="UTF-8" standalone="yes"?><Relationships xmlns="http://schemas.openxmlformats.org/package/2006/relationships"><Relationship Id="rId1" Type="http://schemas.openxmlformats.org/officeDocument/2006/relationships/themeOverride" Target="../theme/themeOverride1.xml" /><Relationship Id="rId2" Type="http://schemas.openxmlformats.org/officeDocument/2006/relationships/package" Target="../embeddings/Microsoft_Excel_Worksheet2.xlsx" /></Relationships>
</file>

<file path=word/charts/_rels/chart3.xml.rels><?xml version="1.0" encoding="UTF-8" standalone="yes"?><Relationships xmlns="http://schemas.openxmlformats.org/package/2006/relationships"><Relationship Id="rId1" Type="http://schemas.openxmlformats.org/officeDocument/2006/relationships/themeOverride" Target="../theme/themeOverride1.xml" /><Relationship Id="rId2" Type="http://schemas.openxmlformats.org/officeDocument/2006/relationships/package" Target="../embeddings/Microsoft_Excel_Worksheet3.xlsx" /></Relationships>
</file>

<file path=word/charts/_rels/chart4.xml.rels><?xml version="1.0" encoding="UTF-8" standalone="yes"?><Relationships xmlns="http://schemas.openxmlformats.org/package/2006/relationships"><Relationship Id="rId1" Type="http://schemas.openxmlformats.org/officeDocument/2006/relationships/themeOverride" Target="../theme/themeOverride1.xml" /><Relationship Id="rId2" Type="http://schemas.openxmlformats.org/officeDocument/2006/relationships/package" Target="../embeddings/Microsoft_Excel_Worksheet4.xlsx" /></Relationships>
</file>

<file path=word/charts/_rels/chart5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5.xlsx" /></Relationships>
</file>

<file path=word/charts/_rels/chart6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6.xlsx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096790000000000001"/>
          <c:y val="0.062300000000000001"/>
          <c:w val="0.88222"/>
          <c:h val="0.8180600000000000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Ряд 1</c:v>
                </c:pt>
              </c:strCache>
            </c:strRef>
          </c:tx>
          <c:invertIfNegative val="0"/>
          <c:dLbls>
            <c:dLbl>
              <c:idx val="0"/>
              <c:dLblPos val="inEnd"/>
              <c:layout>
                <c:manualLayout>
                  <c:x val="0.0016100000000000001"/>
                  <c:y val="-0.0613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inEnd"/>
              <c:layout>
                <c:manualLayout>
                  <c:x val="0.0080700000000000008"/>
                  <c:y val="-0.080930000000000002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inEnd"/>
              <c:layout>
                <c:manualLayout>
                  <c:x val="0.00645"/>
                  <c:y val="-0.050229999999999997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3"/>
              <c:dLblPos val="inEnd"/>
              <c:layout>
                <c:manualLayout>
                  <c:x val="0.0016100000000000001"/>
                  <c:y val="-0.05859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4"/>
              <c:dLblPos val="inEnd"/>
              <c:layout>
                <c:manualLayout>
                  <c:x val="-0.0016100000000000001"/>
                  <c:y val="-0.04744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5"/>
              <c:dLblPos val="inEnd"/>
              <c:layout>
                <c:manualLayout>
                  <c:x val="0.0016100000000000001"/>
                  <c:y val="-0.04744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6"/>
              <c:dLblPos val="inEnd"/>
              <c:layout>
                <c:manualLayout>
                  <c:x val="0"/>
                  <c:y val="-0.04744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8"/>
              <c:dLblPos val="inEnd"/>
              <c:layout>
                <c:manualLayout>
                  <c:x val="-0.0016100000000000001"/>
                  <c:y val="-0.039070000000000001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9"/>
              <c:dLblPos val="inEnd"/>
              <c:layout>
                <c:manualLayout>
                  <c:x val="0"/>
                  <c:y val="-0.050229999999999997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0"/>
              <c:dLblPos val="inEnd"/>
              <c:layout>
                <c:manualLayout>
                  <c:x val="-0.0016100000000000001"/>
                  <c:y val="-0.050229999999999997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1"/>
              <c:dLblPos val="inEnd"/>
              <c:layout>
                <c:manualLayout>
                  <c:x val="-0.0032200000000000002"/>
                  <c:y val="-0.053019999999999998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2"/>
              <c:dLblPos val="inEnd"/>
              <c:layout>
                <c:manualLayout>
                  <c:x val="-0.0032200000000000002"/>
                  <c:y val="-0.055809999999999998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3"/>
              <c:dLblPos val="inEnd"/>
              <c:layout>
                <c:manualLayout>
                  <c:x val="0"/>
                  <c:y val="-0.055809999999999998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7"/>
              <c:dLblPos val="inEnd"/>
              <c:layout>
                <c:manualLayout>
                  <c:x val="0.0032200000000000002"/>
                  <c:y val="-0.055809999999999998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inEnd"/>
            <c:showBubbleSize val="0"/>
            <c:showCatName val="0"/>
            <c:showLeaderLines val="0"/>
            <c:showLegendKey val="0"/>
            <c:showPercent val="0"/>
            <c:showSerName val="0"/>
            <c:showVal val="1"/>
            <c:txPr>
              <a:bodyPr/>
              <a:p>
                <a:pPr>
                  <a:defRPr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Лист1!$A$2:$A$15</c:f>
              <c:strCache>
                <c:ptCount val="14"/>
                <c:pt idx="0">
                  <c:v xml:space="preserve">2011 год</c:v>
                </c:pt>
                <c:pt idx="1">
                  <c:v xml:space="preserve">2012 год</c:v>
                </c:pt>
                <c:pt idx="2">
                  <c:v xml:space="preserve">2013 год</c:v>
                </c:pt>
                <c:pt idx="3">
                  <c:v xml:space="preserve">2014 год</c:v>
                </c:pt>
                <c:pt idx="4">
                  <c:v xml:space="preserve">2015 год</c:v>
                </c:pt>
                <c:pt idx="5">
                  <c:v xml:space="preserve">2016 год</c:v>
                </c:pt>
                <c:pt idx="6">
                  <c:v xml:space="preserve">2017 год</c:v>
                </c:pt>
                <c:pt idx="7">
                  <c:v xml:space="preserve">2018 год</c:v>
                </c:pt>
                <c:pt idx="8">
                  <c:v xml:space="preserve">2019 год</c:v>
                </c:pt>
                <c:pt idx="9">
                  <c:v xml:space="preserve">2020 год</c:v>
                </c:pt>
                <c:pt idx="10">
                  <c:v xml:space="preserve">2021 год</c:v>
                </c:pt>
                <c:pt idx="11">
                  <c:v xml:space="preserve">2022 год</c:v>
                </c:pt>
                <c:pt idx="12">
                  <c:v xml:space="preserve">2023 год</c:v>
                </c:pt>
                <c:pt idx="13">
                  <c:v xml:space="preserve">2024 год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19086</c:v>
                </c:pt>
                <c:pt idx="1">
                  <c:v>18551</c:v>
                </c:pt>
                <c:pt idx="2">
                  <c:v>18346</c:v>
                </c:pt>
                <c:pt idx="3">
                  <c:v>19917</c:v>
                </c:pt>
                <c:pt idx="4">
                  <c:v>18392</c:v>
                </c:pt>
                <c:pt idx="5">
                  <c:v>20338</c:v>
                </c:pt>
                <c:pt idx="6">
                  <c:v>19278</c:v>
                </c:pt>
                <c:pt idx="7">
                  <c:v>17053</c:v>
                </c:pt>
                <c:pt idx="8">
                  <c:v>21220</c:v>
                </c:pt>
                <c:pt idx="9">
                  <c:v>23337</c:v>
                </c:pt>
                <c:pt idx="10">
                  <c:v>25807</c:v>
                </c:pt>
                <c:pt idx="11">
                  <c:v>21932</c:v>
                </c:pt>
                <c:pt idx="12">
                  <c:v>24229</c:v>
                </c:pt>
                <c:pt idx="13">
                  <c:v>26183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 xml:space="preserve">2011 год</c:v>
                </c:pt>
                <c:pt idx="1">
                  <c:v xml:space="preserve">2012 год</c:v>
                </c:pt>
                <c:pt idx="2">
                  <c:v xml:space="preserve">2013 год</c:v>
                </c:pt>
                <c:pt idx="3">
                  <c:v xml:space="preserve">2014 год</c:v>
                </c:pt>
                <c:pt idx="4">
                  <c:v xml:space="preserve">2015 год</c:v>
                </c:pt>
                <c:pt idx="5">
                  <c:v xml:space="preserve">2016 год</c:v>
                </c:pt>
                <c:pt idx="6">
                  <c:v xml:space="preserve">2017 год</c:v>
                </c:pt>
                <c:pt idx="7">
                  <c:v xml:space="preserve">2018 год</c:v>
                </c:pt>
                <c:pt idx="8">
                  <c:v xml:space="preserve">2019 год</c:v>
                </c:pt>
                <c:pt idx="9">
                  <c:v xml:space="preserve">2020 год</c:v>
                </c:pt>
                <c:pt idx="10">
                  <c:v xml:space="preserve">2021 год</c:v>
                </c:pt>
                <c:pt idx="11">
                  <c:v xml:space="preserve">2022 год</c:v>
                </c:pt>
                <c:pt idx="12">
                  <c:v xml:space="preserve">2023 год</c:v>
                </c:pt>
                <c:pt idx="13">
                  <c:v xml:space="preserve">2024 год</c:v>
                </c:pt>
              </c:strCache>
            </c:strRef>
          </c:cat>
          <c:val>
            <c:numRef>
              <c:f>Лист1!$C$2:$C$15</c:f>
              <c:numCache>
                <c:formatCode>General</c:formatCode>
                <c:ptCount val="1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 xml:space="preserve">2011 год</c:v>
                </c:pt>
                <c:pt idx="1">
                  <c:v xml:space="preserve">2012 год</c:v>
                </c:pt>
                <c:pt idx="2">
                  <c:v xml:space="preserve">2013 год</c:v>
                </c:pt>
                <c:pt idx="3">
                  <c:v xml:space="preserve">2014 год</c:v>
                </c:pt>
                <c:pt idx="4">
                  <c:v xml:space="preserve">2015 год</c:v>
                </c:pt>
                <c:pt idx="5">
                  <c:v xml:space="preserve">2016 год</c:v>
                </c:pt>
                <c:pt idx="6">
                  <c:v xml:space="preserve">2017 год</c:v>
                </c:pt>
                <c:pt idx="7">
                  <c:v xml:space="preserve">2018 год</c:v>
                </c:pt>
                <c:pt idx="8">
                  <c:v xml:space="preserve">2019 год</c:v>
                </c:pt>
                <c:pt idx="9">
                  <c:v xml:space="preserve">2020 год</c:v>
                </c:pt>
                <c:pt idx="10">
                  <c:v xml:space="preserve">2021 год</c:v>
                </c:pt>
                <c:pt idx="11">
                  <c:v xml:space="preserve">2022 год</c:v>
                </c:pt>
                <c:pt idx="12">
                  <c:v xml:space="preserve">2023 год</c:v>
                </c:pt>
                <c:pt idx="13">
                  <c:v xml:space="preserve">2024 год</c:v>
                </c:pt>
              </c:strCache>
            </c:strRef>
          </c:cat>
          <c:val>
            <c:numRef>
              <c:f>Лист1!$D$2:$D$15</c:f>
              <c:numCache>
                <c:formatCode>General</c:formatCode>
                <c:ptCount val="14"/>
              </c:numCache>
            </c:numRef>
          </c:val>
        </c:ser>
        <c:dLbls>
          <c:showBubbleSize val="0"/>
          <c:showCatName val="0"/>
          <c:showLeaderLines val="0"/>
          <c:showLegendKey val="0"/>
          <c:showPercent val="0"/>
          <c:showSerName val="0"/>
          <c:showVal val="0"/>
          <c:txPr>
            <a:bodyPr/>
            <a:p>
              <a:pPr>
                <a:defRPr>
                  <a:latin typeface="Times New Roman"/>
                  <a:ea typeface="Times New Roman"/>
                  <a:cs typeface="Times New Roman"/>
                </a:defRPr>
              </a:pPr>
              <a:endParaRPr/>
            </a:p>
          </c:txPr>
        </c:dLbls>
        <c:gapWidth val="150"/>
        <c:overlap val="100"/>
        <c:axId val="105233920"/>
        <c:axId val="161501120"/>
      </c:barChart>
      <c:catAx>
        <c:axId val="10523392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p>
            <a:pPr>
              <a:defRPr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61501120"/>
        <c:crosses val="autoZero"/>
        <c:auto val="1"/>
        <c:lblAlgn val="ctr"/>
        <c:lblOffset val="100"/>
        <c:noMultiLvlLbl val="0"/>
      </c:catAx>
      <c:valAx>
        <c:axId val="161501120"/>
        <c:scaling>
          <c:orientation val="minMax"/>
        </c:scaling>
        <c:delete val="0"/>
        <c:axPos val="l"/>
        <c:majorGridlines>
          <c:spPr bwMode="auto"/>
        </c:majorGridlines>
        <c:numFmt formatCode="General" sourceLinked="1"/>
        <c:majorTickMark val="out"/>
        <c:minorTickMark val="none"/>
        <c:tickLblPos val="nextTo"/>
        <c:txPr>
          <a:bodyPr/>
          <a:p>
            <a:pPr>
              <a:defRPr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05233920"/>
        <c:crosses val="autoZero"/>
        <c:crossBetween val="between"/>
      </c:valAx>
    </c:plotArea>
    <c:plotVisOnly val="1"/>
    <c:dispBlanksAs val="gap"/>
    <c:showDLblsOverMax val="0"/>
  </c:chart>
  <c:spPr bwMode="auto">
    <a:xfrm>
      <a:off x="0" y="0"/>
      <a:ext cx="5901067" cy="3413050"/>
    </a:xfrm>
  </c:spPr>
  <c:txPr>
    <a:bodyPr/>
    <a:p>
      <a:pPr>
        <a:defRPr>
          <a:latin typeface="Times New Roman"/>
          <a:ea typeface="Times New Roman"/>
          <a:cs typeface="Times New Roman"/>
        </a:defRPr>
      </a:pPr>
      <a:endParaRPr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Ряд 1</c:v>
                </c:pt>
              </c:strCache>
            </c:strRef>
          </c:tx>
          <c:invertIfNegative val="0"/>
          <c:dLbls>
            <c:dLbl>
              <c:idx val="0"/>
              <c:dLblPos val="inEnd"/>
              <c:layout>
                <c:manualLayout>
                  <c:x val="0"/>
                  <c:y val="-0.05636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inEnd"/>
              <c:layout>
                <c:manualLayout>
                  <c:x val="0"/>
                  <c:y val="-0.05636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inEnd"/>
              <c:layout>
                <c:manualLayout>
                  <c:x val="-0.0016100000000000001"/>
                  <c:y val="-0.05636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3"/>
              <c:dLblPos val="inEnd"/>
              <c:layout>
                <c:manualLayout>
                  <c:x val="-0.0016100000000000001"/>
                  <c:y val="-0.059319999999999998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4"/>
              <c:dLblPos val="inEnd"/>
              <c:layout>
                <c:manualLayout>
                  <c:x val="0.0032200000000000002"/>
                  <c:y val="-0.05042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5"/>
              <c:dLblPos val="inEnd"/>
              <c:layout>
                <c:manualLayout>
                  <c:x val="0.0032200000000000002"/>
                  <c:y val="-0.05636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6"/>
              <c:dLblPos val="inEnd"/>
              <c:layout>
                <c:manualLayout>
                  <c:x val="0"/>
                  <c:y val="-0.059319999999999998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7"/>
              <c:dLblPos val="inEnd"/>
              <c:layout>
                <c:manualLayout>
                  <c:x val="-0.0016100000000000001"/>
                  <c:y val="-0.059319999999999998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8"/>
              <c:dLblPos val="inEnd"/>
              <c:layout>
                <c:manualLayout>
                  <c:x val="0.0016100000000000001"/>
                  <c:y val="-0.062289999999999998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9"/>
              <c:dLblPos val="inEnd"/>
              <c:layout>
                <c:manualLayout>
                  <c:x val="-0.0016100000000000001"/>
                  <c:y val="-0.062289999999999998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0"/>
              <c:dLblPos val="inEnd"/>
              <c:layout>
                <c:manualLayout>
                  <c:x val="0.0016100000000000001"/>
                  <c:y val="-0.059319999999999998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1"/>
              <c:dLblPos val="inEnd"/>
              <c:layout>
                <c:manualLayout>
                  <c:x val="-0.0016100000000000001"/>
                  <c:y val="-0.05636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2"/>
              <c:dLblPos val="inEnd"/>
              <c:layout>
                <c:manualLayout>
                  <c:x val="0.0016100000000000001"/>
                  <c:y val="-0.059319999999999998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inEnd"/>
            <c:showBubbleSize val="0"/>
            <c:showCatName val="0"/>
            <c:showLeaderLines val="0"/>
            <c:showLegendKey val="0"/>
            <c:showPercent val="0"/>
            <c:showSerName val="0"/>
            <c:showVal val="1"/>
            <c:txPr>
              <a:bodyPr/>
              <a:p>
                <a:pPr>
                  <a:defRPr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Лист1!$A$2:$A$14</c:f>
              <c:strCache>
                <c:ptCount val="13"/>
                <c:pt idx="0">
                  <c:v xml:space="preserve">2011 год</c:v>
                </c:pt>
                <c:pt idx="1">
                  <c:v xml:space="preserve">2012 год</c:v>
                </c:pt>
                <c:pt idx="2">
                  <c:v xml:space="preserve">2013 год</c:v>
                </c:pt>
                <c:pt idx="3">
                  <c:v xml:space="preserve">2014 год</c:v>
                </c:pt>
                <c:pt idx="4">
                  <c:v xml:space="preserve">2015 год</c:v>
                </c:pt>
                <c:pt idx="5">
                  <c:v xml:space="preserve">2016 год</c:v>
                </c:pt>
                <c:pt idx="6">
                  <c:v xml:space="preserve">2017 год</c:v>
                </c:pt>
                <c:pt idx="7">
                  <c:v xml:space="preserve">2018 год</c:v>
                </c:pt>
                <c:pt idx="8">
                  <c:v xml:space="preserve">2019 год</c:v>
                </c:pt>
                <c:pt idx="9">
                  <c:v xml:space="preserve">2020 год</c:v>
                </c:pt>
                <c:pt idx="10">
                  <c:v xml:space="preserve">2021 год</c:v>
                </c:pt>
                <c:pt idx="11">
                  <c:v xml:space="preserve">2022 год</c:v>
                </c:pt>
                <c:pt idx="12">
                  <c:v xml:space="preserve">2023 год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6009</c:v>
                </c:pt>
                <c:pt idx="1">
                  <c:v>7378</c:v>
                </c:pt>
                <c:pt idx="2">
                  <c:v>6444</c:v>
                </c:pt>
                <c:pt idx="3">
                  <c:v>6002</c:v>
                </c:pt>
                <c:pt idx="4">
                  <c:v>6492</c:v>
                </c:pt>
                <c:pt idx="5">
                  <c:v>7136</c:v>
                </c:pt>
                <c:pt idx="6">
                  <c:v>6405</c:v>
                </c:pt>
                <c:pt idx="7">
                  <c:v>6296</c:v>
                </c:pt>
                <c:pt idx="8">
                  <c:v>6725</c:v>
                </c:pt>
                <c:pt idx="9">
                  <c:v>6609</c:v>
                </c:pt>
                <c:pt idx="10">
                  <c:v>6987</c:v>
                </c:pt>
                <c:pt idx="11">
                  <c:v>7373</c:v>
                </c:pt>
                <c:pt idx="12">
                  <c:v>7644</c:v>
                </c:pt>
              </c:numCache>
            </c:numRef>
          </c:val>
        </c:ser>
        <c:dLbls>
          <c:showBubbleSize val="0"/>
          <c:showCatName val="0"/>
          <c:showLeaderLines val="0"/>
          <c:showLegendKey val="0"/>
          <c:showPercent val="0"/>
          <c:showSerName val="0"/>
          <c:showVal val="0"/>
          <c:txPr>
            <a:bodyPr/>
            <a:p>
              <a:pPr>
                <a:defRPr>
                  <a:latin typeface="Times New Roman"/>
                  <a:ea typeface="Times New Roman"/>
                  <a:cs typeface="Times New Roman"/>
                </a:defRPr>
              </a:pPr>
              <a:endParaRPr/>
            </a:p>
          </c:txPr>
        </c:dLbls>
        <c:gapWidth val="150"/>
        <c:overlap val="100"/>
        <c:axId val="161837056"/>
        <c:axId val="161502272"/>
      </c:barChart>
      <c:catAx>
        <c:axId val="16183705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p>
            <a:pPr>
              <a:defRPr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61502272"/>
        <c:crosses val="autoZero"/>
        <c:auto val="1"/>
        <c:lblAlgn val="ctr"/>
        <c:lblOffset val="100"/>
        <c:noMultiLvlLbl val="0"/>
      </c:catAx>
      <c:valAx>
        <c:axId val="161502272"/>
        <c:scaling>
          <c:orientation val="minMax"/>
        </c:scaling>
        <c:delete val="0"/>
        <c:axPos val="l"/>
        <c:majorGridlines>
          <c:spPr bwMode="auto"/>
        </c:majorGridlines>
        <c:numFmt formatCode="General" sourceLinked="1"/>
        <c:majorTickMark val="out"/>
        <c:minorTickMark val="none"/>
        <c:tickLblPos val="nextTo"/>
        <c:txPr>
          <a:bodyPr/>
          <a:p>
            <a:pPr>
              <a:defRPr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61837056"/>
        <c:crosses val="autoZero"/>
        <c:crossBetween val="between"/>
      </c:valAx>
    </c:plotArea>
    <c:plotVisOnly val="1"/>
    <c:dispBlanksAs val="gap"/>
    <c:showDLblsOverMax val="0"/>
  </c:chart>
  <c:spPr bwMode="auto">
    <a:xfrm>
      <a:off x="0" y="0"/>
      <a:ext cx="5901066" cy="3211029"/>
    </a:xfrm>
  </c:spPr>
  <c:txPr>
    <a:bodyPr/>
    <a:p>
      <a:pPr>
        <a:defRPr>
          <a:latin typeface="Times New Roman"/>
          <a:ea typeface="Times New Roman"/>
          <a:cs typeface="Times New Roman"/>
        </a:defRPr>
      </a:pPr>
      <a:endParaRPr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Ряд 1</c:v>
                </c:pt>
              </c:strCache>
            </c:strRef>
          </c:tx>
          <c:invertIfNegative val="0"/>
          <c:dLbls>
            <c:dLbl>
              <c:idx val="0"/>
              <c:dLblPos val="inEnd"/>
              <c:layout>
                <c:manualLayout>
                  <c:x val="0"/>
                  <c:y val="-0.08372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inEnd"/>
              <c:layout>
                <c:manualLayout>
                  <c:x val="0.00167"/>
                  <c:y val="-0.07953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inEnd"/>
              <c:layout>
                <c:manualLayout>
                  <c:x val="0"/>
                  <c:y val="-0.07953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3"/>
              <c:dLblPos val="inEnd"/>
              <c:layout>
                <c:manualLayout>
                  <c:x val="0.00167"/>
                  <c:y val="-0.071160000000000001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4"/>
              <c:dLblPos val="inEnd"/>
              <c:layout>
                <c:manualLayout>
                  <c:x val="0.0033500000000000001"/>
                  <c:y val="-0.07535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5"/>
              <c:dLblPos val="inEnd"/>
              <c:layout>
                <c:manualLayout>
                  <c:x val="0.0033500000000000001"/>
                  <c:y val="-0.07953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6"/>
              <c:dLblPos val="inEnd"/>
              <c:layout>
                <c:manualLayout>
                  <c:x val="0.00167"/>
                  <c:y val="-0.08372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7"/>
              <c:dLblPos val="inEnd"/>
              <c:layout>
                <c:manualLayout>
                  <c:x val="0.0033500000000000001"/>
                  <c:y val="-0.08372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8"/>
              <c:dLblPos val="inEnd"/>
              <c:layout>
                <c:manualLayout>
                  <c:x val="0"/>
                  <c:y val="-0.087900000000000006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9"/>
              <c:dLblPos val="inEnd"/>
              <c:layout>
                <c:manualLayout>
                  <c:x val="0"/>
                  <c:y val="-0.07953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0"/>
              <c:dLblPos val="inEnd"/>
              <c:layout>
                <c:manualLayout>
                  <c:x val="0.0033500000000000001"/>
                  <c:y val="-0.07953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1"/>
              <c:dLblPos val="inEnd"/>
              <c:layout>
                <c:manualLayout>
                  <c:x val="0.00167"/>
                  <c:y val="-0.07535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2"/>
              <c:dLblPos val="inEnd"/>
              <c:layout>
                <c:manualLayout>
                  <c:x val="0.0033500000000000001"/>
                  <c:y val="-0.07953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inEnd"/>
            <c:showBubbleSize val="0"/>
            <c:showCatName val="0"/>
            <c:showLeaderLines val="0"/>
            <c:showLegendKey val="0"/>
            <c:showPercent val="0"/>
            <c:showSerName val="0"/>
            <c:showVal val="1"/>
            <c:txPr>
              <a:bodyPr/>
              <a:p>
                <a:pPr>
                  <a:defRPr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Лист1!$A$2:$A$14</c:f>
              <c:strCache>
                <c:ptCount val="13"/>
                <c:pt idx="0">
                  <c:v xml:space="preserve">2011 год</c:v>
                </c:pt>
                <c:pt idx="1">
                  <c:v xml:space="preserve">2012 год</c:v>
                </c:pt>
                <c:pt idx="2">
                  <c:v xml:space="preserve">2013 год</c:v>
                </c:pt>
                <c:pt idx="3">
                  <c:v xml:space="preserve">2014 год</c:v>
                </c:pt>
                <c:pt idx="4">
                  <c:v xml:space="preserve">2015 год</c:v>
                </c:pt>
                <c:pt idx="5">
                  <c:v xml:space="preserve">2016 год</c:v>
                </c:pt>
                <c:pt idx="6">
                  <c:v xml:space="preserve">2017 год</c:v>
                </c:pt>
                <c:pt idx="7">
                  <c:v xml:space="preserve">2018 год</c:v>
                </c:pt>
                <c:pt idx="8">
                  <c:v xml:space="preserve">2019 год</c:v>
                </c:pt>
                <c:pt idx="9">
                  <c:v xml:space="preserve">2020 год</c:v>
                </c:pt>
                <c:pt idx="10">
                  <c:v xml:space="preserve">2021 год</c:v>
                </c:pt>
                <c:pt idx="11">
                  <c:v xml:space="preserve">2022 год</c:v>
                </c:pt>
                <c:pt idx="12">
                  <c:v xml:space="preserve">2023 год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1643</c:v>
                </c:pt>
                <c:pt idx="1">
                  <c:v>1301</c:v>
                </c:pt>
                <c:pt idx="2">
                  <c:v>650</c:v>
                </c:pt>
                <c:pt idx="3">
                  <c:v>2003</c:v>
                </c:pt>
                <c:pt idx="4">
                  <c:v>2124</c:v>
                </c:pt>
                <c:pt idx="5">
                  <c:v>3805</c:v>
                </c:pt>
                <c:pt idx="6">
                  <c:v>3220</c:v>
                </c:pt>
                <c:pt idx="7">
                  <c:v>3356</c:v>
                </c:pt>
                <c:pt idx="8">
                  <c:v>3853</c:v>
                </c:pt>
                <c:pt idx="9">
                  <c:v>3525</c:v>
                </c:pt>
                <c:pt idx="10">
                  <c:v>3985</c:v>
                </c:pt>
                <c:pt idx="11">
                  <c:v>2611</c:v>
                </c:pt>
                <c:pt idx="12">
                  <c:v>2718</c:v>
                </c:pt>
              </c:numCache>
            </c:numRef>
          </c:val>
        </c:ser>
        <c:dLbls>
          <c:showBubbleSize val="0"/>
          <c:showCatName val="0"/>
          <c:showLeaderLines val="0"/>
          <c:showLegendKey val="0"/>
          <c:showPercent val="0"/>
          <c:showSerName val="0"/>
          <c:showVal val="0"/>
        </c:dLbls>
        <c:gapWidth val="150"/>
        <c:overlap val="100"/>
        <c:axId val="161838592"/>
        <c:axId val="161504000"/>
      </c:barChart>
      <c:catAx>
        <c:axId val="1618385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p>
            <a:pPr>
              <a:defRPr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61504000"/>
        <c:crosses val="autoZero"/>
        <c:auto val="1"/>
        <c:lblAlgn val="ctr"/>
        <c:lblOffset val="100"/>
        <c:noMultiLvlLbl val="0"/>
      </c:catAx>
      <c:valAx>
        <c:axId val="161504000"/>
        <c:scaling>
          <c:orientation val="minMax"/>
        </c:scaling>
        <c:delete val="0"/>
        <c:axPos val="l"/>
        <c:majorGridlines>
          <c:spPr bwMode="auto"/>
        </c:majorGridlines>
        <c:numFmt formatCode="General" sourceLinked="1"/>
        <c:majorTickMark val="out"/>
        <c:minorTickMark val="none"/>
        <c:tickLblPos val="nextTo"/>
        <c:txPr>
          <a:bodyPr/>
          <a:p>
            <a:pPr>
              <a:defRPr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61838592"/>
        <c:crosses val="autoZero"/>
        <c:crossBetween val="between"/>
      </c:valAx>
    </c:plotArea>
    <c:plotVisOnly val="1"/>
    <c:dispBlanksAs val="gap"/>
    <c:showDLblsOverMax val="0"/>
  </c:chart>
  <c:spPr bwMode="auto">
    <a:xfrm>
      <a:off x="0" y="0"/>
      <a:ext cx="5677782" cy="2275365"/>
    </a:xfrm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Ряд 1</c:v>
                </c:pt>
              </c:strCache>
            </c:strRef>
          </c:tx>
          <c:invertIfNegative val="0"/>
          <c:dLbls>
            <c:dLbl>
              <c:idx val="0"/>
              <c:dLblPos val="inEnd"/>
              <c:layout>
                <c:manualLayout>
                  <c:x val="0.0050299999999999997"/>
                  <c:y val="-0.07205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inEnd"/>
              <c:layout>
                <c:manualLayout>
                  <c:x val="0.00167"/>
                  <c:y val="-0.061780000000000002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inEnd"/>
              <c:layout>
                <c:manualLayout>
                  <c:x val="0.00167"/>
                  <c:y val="-0.065210000000000004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3"/>
              <c:dLblPos val="inEnd"/>
              <c:layout>
                <c:manualLayout>
                  <c:x val="-0.00167"/>
                  <c:y val="-0.065210000000000004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4"/>
              <c:dLblPos val="inEnd"/>
              <c:layout>
                <c:manualLayout>
                  <c:x val="0.00167"/>
                  <c:y val="-0.068640000000000007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5"/>
              <c:dLblPos val="inEnd"/>
              <c:layout>
                <c:manualLayout>
                  <c:x val="0.0033500000000000001"/>
                  <c:y val="-0.07205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6"/>
              <c:dLblPos val="inEnd"/>
              <c:layout>
                <c:manualLayout>
                  <c:x val="0.00167"/>
                  <c:y val="-0.05834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7"/>
              <c:dLblPos val="inEnd"/>
              <c:layout>
                <c:manualLayout>
                  <c:x val="0.00167"/>
                  <c:y val="-0.068640000000000007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8"/>
              <c:dLblPos val="inEnd"/>
              <c:layout>
                <c:manualLayout>
                  <c:x val="0"/>
                  <c:y val="-0.065210000000000004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9"/>
              <c:dLblPos val="inEnd"/>
              <c:layout>
                <c:manualLayout>
                  <c:x val="-0.00167"/>
                  <c:y val="-0.058340000000000003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0"/>
              <c:dLblPos val="inEnd"/>
              <c:layout>
                <c:manualLayout>
                  <c:x val="0.00167"/>
                  <c:y val="-0.068640000000000007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1"/>
              <c:dLblPos val="inEnd"/>
              <c:layout>
                <c:manualLayout>
                  <c:x val="0.0033500000000000001"/>
                  <c:y val="-0.07205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2"/>
              <c:dLblPos val="inEnd"/>
              <c:layout>
                <c:manualLayout>
                  <c:x val="0.00167"/>
                  <c:y val="-0.061780000000000002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inEnd"/>
            <c:showBubbleSize val="0"/>
            <c:showCatName val="0"/>
            <c:showLeaderLines val="0"/>
            <c:showLegendKey val="0"/>
            <c:showPercent val="0"/>
            <c:showSerName val="0"/>
            <c:showVal val="1"/>
            <c:txPr>
              <a:bodyPr/>
              <a:p>
                <a:pPr>
                  <a:defRPr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Лист1!$A$2:$A$14</c:f>
              <c:strCache>
                <c:ptCount val="13"/>
                <c:pt idx="0">
                  <c:v xml:space="preserve">2011 год</c:v>
                </c:pt>
                <c:pt idx="1">
                  <c:v xml:space="preserve">2012 год</c:v>
                </c:pt>
                <c:pt idx="2">
                  <c:v xml:space="preserve">2013 год</c:v>
                </c:pt>
                <c:pt idx="3">
                  <c:v xml:space="preserve">2014 год</c:v>
                </c:pt>
                <c:pt idx="4">
                  <c:v xml:space="preserve">2015 год</c:v>
                </c:pt>
                <c:pt idx="5">
                  <c:v xml:space="preserve">2016 год</c:v>
                </c:pt>
                <c:pt idx="6">
                  <c:v xml:space="preserve">2017 год</c:v>
                </c:pt>
                <c:pt idx="7">
                  <c:v xml:space="preserve">2018 год</c:v>
                </c:pt>
                <c:pt idx="8">
                  <c:v xml:space="preserve">2019 год</c:v>
                </c:pt>
                <c:pt idx="9">
                  <c:v xml:space="preserve">2020 год</c:v>
                </c:pt>
                <c:pt idx="10">
                  <c:v xml:space="preserve">2021 год</c:v>
                </c:pt>
                <c:pt idx="11">
                  <c:v xml:space="preserve">2022 год</c:v>
                </c:pt>
                <c:pt idx="12">
                  <c:v xml:space="preserve">2023 год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8471</c:v>
                </c:pt>
                <c:pt idx="1">
                  <c:v>8176</c:v>
                </c:pt>
                <c:pt idx="2">
                  <c:v>1873</c:v>
                </c:pt>
                <c:pt idx="3">
                  <c:v>4117</c:v>
                </c:pt>
                <c:pt idx="4">
                  <c:v>4739</c:v>
                </c:pt>
                <c:pt idx="5">
                  <c:v>5025</c:v>
                </c:pt>
                <c:pt idx="6">
                  <c:v>4374</c:v>
                </c:pt>
                <c:pt idx="7">
                  <c:v>2541</c:v>
                </c:pt>
                <c:pt idx="8">
                  <c:v>2543</c:v>
                </c:pt>
                <c:pt idx="9">
                  <c:v>2902</c:v>
                </c:pt>
                <c:pt idx="10">
                  <c:v>2985</c:v>
                </c:pt>
                <c:pt idx="11">
                  <c:v>3695</c:v>
                </c:pt>
                <c:pt idx="12">
                  <c:v>3476</c:v>
                </c:pt>
              </c:numCache>
            </c:numRef>
          </c:val>
        </c:ser>
        <c:dLbls>
          <c:showBubbleSize val="0"/>
          <c:showCatName val="0"/>
          <c:showLeaderLines val="0"/>
          <c:showLegendKey val="0"/>
          <c:showPercent val="0"/>
          <c:showSerName val="0"/>
          <c:showVal val="0"/>
        </c:dLbls>
        <c:gapWidth val="150"/>
        <c:overlap val="100"/>
        <c:axId val="161838080"/>
        <c:axId val="184656448"/>
      </c:barChart>
      <c:catAx>
        <c:axId val="16183808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p>
            <a:pPr>
              <a:defRPr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84656448"/>
        <c:crosses val="autoZero"/>
        <c:auto val="1"/>
        <c:lblAlgn val="ctr"/>
        <c:lblOffset val="100"/>
        <c:noMultiLvlLbl val="0"/>
      </c:catAx>
      <c:valAx>
        <c:axId val="184656448"/>
        <c:scaling>
          <c:orientation val="minMax"/>
        </c:scaling>
        <c:delete val="0"/>
        <c:axPos val="l"/>
        <c:majorGridlines>
          <c:spPr bwMode="auto"/>
        </c:majorGridlines>
        <c:numFmt formatCode="General" sourceLinked="1"/>
        <c:majorTickMark val="out"/>
        <c:minorTickMark val="none"/>
        <c:tickLblPos val="nextTo"/>
        <c:txPr>
          <a:bodyPr/>
          <a:p>
            <a:pPr>
              <a:defRPr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61838080"/>
        <c:crosses val="autoZero"/>
        <c:crossBetween val="between"/>
      </c:valAx>
    </c:plotArea>
    <c:plotVisOnly val="1"/>
    <c:dispBlanksAs val="gap"/>
    <c:showDLblsOverMax val="0"/>
  </c:chart>
  <c:spPr bwMode="auto">
    <a:xfrm>
      <a:off x="0" y="0"/>
      <a:ext cx="5677780" cy="2775092"/>
    </a:xfrm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098830000000000001"/>
          <c:y val="0.049020000000000001"/>
          <c:w val="0.88300999999999996"/>
          <c:h val="0.7696199999999999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Ряд 1</c:v>
                </c:pt>
              </c:strCache>
            </c:strRef>
          </c:tx>
          <c:invertIfNegative val="0"/>
          <c:dLbls>
            <c:dLbl>
              <c:idx val="0"/>
              <c:dLblPos val="inEnd"/>
              <c:layout>
                <c:manualLayout>
                  <c:x val="0.0049399999999999999"/>
                  <c:y val="-0.052350000000000001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inEnd"/>
              <c:layout>
                <c:manualLayout>
                  <c:x val="0.00164"/>
                  <c:y val="-0.05816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inEnd"/>
              <c:layout>
                <c:manualLayout>
                  <c:x val="-0.00164"/>
                  <c:y val="-0.055259999999999997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3"/>
              <c:dLblPos val="inEnd"/>
              <c:layout>
                <c:manualLayout>
                  <c:x val="0"/>
                  <c:y val="-0.052350000000000001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4"/>
              <c:dLblPos val="inEnd"/>
              <c:layout>
                <c:manualLayout>
                  <c:x val="-0.00164"/>
                  <c:y val="-0.05816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5"/>
              <c:dLblPos val="inEnd"/>
              <c:layout>
                <c:manualLayout>
                  <c:x val="0.0098899999999999995"/>
                  <c:y val="-0.052350000000000001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6"/>
              <c:dLblPos val="inEnd"/>
              <c:layout>
                <c:manualLayout>
                  <c:x val="0.00329"/>
                  <c:y val="-0.052350000000000001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7"/>
              <c:dLblPos val="inEnd"/>
              <c:layout>
                <c:manualLayout>
                  <c:x val="-0.00329"/>
                  <c:y val="-0.05816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8"/>
              <c:dLblPos val="inEnd"/>
              <c:layout>
                <c:manualLayout>
                  <c:x val="0.00164"/>
                  <c:y val="-0.055259999999999997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9"/>
              <c:dLblPos val="inEnd"/>
              <c:layout>
                <c:manualLayout>
                  <c:x val="0"/>
                  <c:y val="-0.05816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0"/>
              <c:dLblPos val="inEnd"/>
              <c:layout>
                <c:manualLayout>
                  <c:x val="0.00329"/>
                  <c:y val="-0.066890000000000005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1"/>
              <c:dLblPos val="inEnd"/>
              <c:layout>
                <c:manualLayout>
                  <c:x val="0.00329"/>
                  <c:y val="-0.055259999999999997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2"/>
              <c:dLblPos val="inEnd"/>
              <c:layout>
                <c:manualLayout>
                  <c:x val="0.00329"/>
                  <c:y val="-0.05816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3"/>
              <c:dLblPos val="inEnd"/>
              <c:layout>
                <c:manualLayout>
                  <c:x val="0.00329"/>
                  <c:y val="-0.05816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inEnd"/>
            <c:showBubbleSize val="0"/>
            <c:showCatName val="0"/>
            <c:showLeaderLines val="0"/>
            <c:showLegendKey val="0"/>
            <c:showPercent val="0"/>
            <c:showSerName val="0"/>
            <c:showVal val="1"/>
            <c:txPr>
              <a:bodyPr/>
              <a:p>
                <a:pPr>
                  <a:defRPr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Лист1!$A$2:$A$15</c:f>
              <c:strCache>
                <c:ptCount val="14"/>
                <c:pt idx="0">
                  <c:v xml:space="preserve">2011 год</c:v>
                </c:pt>
                <c:pt idx="1">
                  <c:v xml:space="preserve">2012 год</c:v>
                </c:pt>
                <c:pt idx="2">
                  <c:v xml:space="preserve">2013 год</c:v>
                </c:pt>
                <c:pt idx="3">
                  <c:v xml:space="preserve">2014 год</c:v>
                </c:pt>
                <c:pt idx="4">
                  <c:v xml:space="preserve">2015 год</c:v>
                </c:pt>
                <c:pt idx="5">
                  <c:v xml:space="preserve">2016 год</c:v>
                </c:pt>
                <c:pt idx="6">
                  <c:v xml:space="preserve">2017 год</c:v>
                </c:pt>
                <c:pt idx="7">
                  <c:v xml:space="preserve">2018 год</c:v>
                </c:pt>
                <c:pt idx="8">
                  <c:v xml:space="preserve">2019 год</c:v>
                </c:pt>
                <c:pt idx="9">
                  <c:v xml:space="preserve">2020 год</c:v>
                </c:pt>
                <c:pt idx="10">
                  <c:v xml:space="preserve">2021 год</c:v>
                </c:pt>
                <c:pt idx="11">
                  <c:v xml:space="preserve">2022 год</c:v>
                </c:pt>
                <c:pt idx="12">
                  <c:v xml:space="preserve">2023 год</c:v>
                </c:pt>
                <c:pt idx="13">
                  <c:v xml:space="preserve">2024 год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56577</c:v>
                </c:pt>
                <c:pt idx="1">
                  <c:v>51157</c:v>
                </c:pt>
                <c:pt idx="2">
                  <c:v>40869</c:v>
                </c:pt>
                <c:pt idx="3">
                  <c:v>37435</c:v>
                </c:pt>
                <c:pt idx="4">
                  <c:v>40511</c:v>
                </c:pt>
                <c:pt idx="5">
                  <c:v>39540</c:v>
                </c:pt>
                <c:pt idx="6">
                  <c:v>44464</c:v>
                </c:pt>
                <c:pt idx="7">
                  <c:v>34089</c:v>
                </c:pt>
                <c:pt idx="8">
                  <c:v>38354</c:v>
                </c:pt>
                <c:pt idx="9">
                  <c:v>40775</c:v>
                </c:pt>
                <c:pt idx="10">
                  <c:v>43387</c:v>
                </c:pt>
                <c:pt idx="11">
                  <c:v>35282</c:v>
                </c:pt>
                <c:pt idx="12">
                  <c:v>41649</c:v>
                </c:pt>
                <c:pt idx="13">
                  <c:v>46346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 xml:space="preserve">2011 год</c:v>
                </c:pt>
                <c:pt idx="1">
                  <c:v xml:space="preserve">2012 год</c:v>
                </c:pt>
                <c:pt idx="2">
                  <c:v xml:space="preserve">2013 год</c:v>
                </c:pt>
                <c:pt idx="3">
                  <c:v xml:space="preserve">2014 год</c:v>
                </c:pt>
                <c:pt idx="4">
                  <c:v xml:space="preserve">2015 год</c:v>
                </c:pt>
                <c:pt idx="5">
                  <c:v xml:space="preserve">2016 год</c:v>
                </c:pt>
                <c:pt idx="6">
                  <c:v xml:space="preserve">2017 год</c:v>
                </c:pt>
                <c:pt idx="7">
                  <c:v xml:space="preserve">2018 год</c:v>
                </c:pt>
                <c:pt idx="8">
                  <c:v xml:space="preserve">2019 год</c:v>
                </c:pt>
                <c:pt idx="9">
                  <c:v xml:space="preserve">2020 год</c:v>
                </c:pt>
                <c:pt idx="10">
                  <c:v xml:space="preserve">2021 год</c:v>
                </c:pt>
                <c:pt idx="11">
                  <c:v xml:space="preserve">2022 год</c:v>
                </c:pt>
                <c:pt idx="12">
                  <c:v xml:space="preserve">2023 год</c:v>
                </c:pt>
                <c:pt idx="13">
                  <c:v xml:space="preserve">2024 год</c:v>
                </c:pt>
              </c:strCache>
            </c:strRef>
          </c:cat>
          <c:val>
            <c:numRef>
              <c:f>Лист1!$C$2:$C$15</c:f>
              <c:numCache>
                <c:formatCode>General</c:formatCode>
                <c:ptCount val="1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 xml:space="preserve">2011 год</c:v>
                </c:pt>
                <c:pt idx="1">
                  <c:v xml:space="preserve">2012 год</c:v>
                </c:pt>
                <c:pt idx="2">
                  <c:v xml:space="preserve">2013 год</c:v>
                </c:pt>
                <c:pt idx="3">
                  <c:v xml:space="preserve">2014 год</c:v>
                </c:pt>
                <c:pt idx="4">
                  <c:v xml:space="preserve">2015 год</c:v>
                </c:pt>
                <c:pt idx="5">
                  <c:v xml:space="preserve">2016 год</c:v>
                </c:pt>
                <c:pt idx="6">
                  <c:v xml:space="preserve">2017 год</c:v>
                </c:pt>
                <c:pt idx="7">
                  <c:v xml:space="preserve">2018 год</c:v>
                </c:pt>
                <c:pt idx="8">
                  <c:v xml:space="preserve">2019 год</c:v>
                </c:pt>
                <c:pt idx="9">
                  <c:v xml:space="preserve">2020 год</c:v>
                </c:pt>
                <c:pt idx="10">
                  <c:v xml:space="preserve">2021 год</c:v>
                </c:pt>
                <c:pt idx="11">
                  <c:v xml:space="preserve">2022 год</c:v>
                </c:pt>
                <c:pt idx="12">
                  <c:v xml:space="preserve">2023 год</c:v>
                </c:pt>
                <c:pt idx="13">
                  <c:v xml:space="preserve">2024 год</c:v>
                </c:pt>
              </c:strCache>
            </c:strRef>
          </c:cat>
          <c:val>
            <c:numRef>
              <c:f>Лист1!$D$2:$D$15</c:f>
              <c:numCache>
                <c:formatCode>General</c:formatCode>
                <c:ptCount val="14"/>
              </c:numCache>
            </c:numRef>
          </c:val>
        </c:ser>
        <c:dLbls>
          <c:showBubbleSize val="0"/>
          <c:showCatName val="0"/>
          <c:showLeaderLines val="0"/>
          <c:showLegendKey val="0"/>
          <c:showPercent val="0"/>
          <c:showSerName val="0"/>
          <c:showVal val="0"/>
        </c:dLbls>
        <c:gapWidth val="150"/>
        <c:overlap val="100"/>
        <c:axId val="1998337619"/>
        <c:axId val="1998337620"/>
      </c:barChart>
      <c:catAx>
        <c:axId val="1998337619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p>
            <a:pPr>
              <a:defRPr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998337620"/>
        <c:crosses val="autoZero"/>
        <c:auto val="1"/>
        <c:lblAlgn val="ctr"/>
        <c:lblOffset val="100"/>
        <c:noMultiLvlLbl val="0"/>
      </c:catAx>
      <c:valAx>
        <c:axId val="1998337620"/>
        <c:scaling>
          <c:orientation val="minMax"/>
        </c:scaling>
        <c:delete val="0"/>
        <c:axPos val="l"/>
        <c:majorGridlines>
          <c:spPr bwMode="auto"/>
        </c:majorGridlines>
        <c:numFmt formatCode="General" sourceLinked="1"/>
        <c:majorTickMark val="out"/>
        <c:minorTickMark val="none"/>
        <c:tickLblPos val="nextTo"/>
        <c:txPr>
          <a:bodyPr/>
          <a:p>
            <a:pPr>
              <a:defRPr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998337619"/>
        <c:crosses val="autoZero"/>
        <c:crossBetween val="between"/>
      </c:valAx>
    </c:plotArea>
    <c:plotVisOnly val="1"/>
    <c:dispBlanksAs val="gap"/>
    <c:showDLblsOverMax val="0"/>
  </c:chart>
  <c:spPr bwMode="auto">
    <a:xfrm>
      <a:off x="0" y="0"/>
      <a:ext cx="5773477" cy="3274827"/>
    </a:xfrm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071889999999999996"/>
          <c:y val="0.066610000000000003"/>
          <c:w val="0.90500000000000003"/>
          <c:h val="0.73424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Ряд 1</c:v>
                </c:pt>
              </c:strCache>
            </c:strRef>
          </c:tx>
          <c:invertIfNegative val="0"/>
          <c:dLbls>
            <c:dLbl>
              <c:idx val="0"/>
              <c:dLblPos val="inEnd"/>
              <c:layout>
                <c:manualLayout>
                  <c:x val="-0.00329"/>
                  <c:y val="-0.067100000000000007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"/>
              <c:dLblPos val="inEnd"/>
              <c:layout>
                <c:manualLayout>
                  <c:x val="-0.00164"/>
                  <c:y val="-0.07044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2"/>
              <c:dLblPos val="inEnd"/>
              <c:layout>
                <c:manualLayout>
                  <c:x val="-0.00329"/>
                  <c:y val="-0.06038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3"/>
              <c:dLblPos val="inEnd"/>
              <c:layout>
                <c:manualLayout>
                  <c:x val="-0.00164"/>
                  <c:y val="-0.063740000000000005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4"/>
              <c:dLblPos val="inEnd"/>
              <c:layout>
                <c:manualLayout>
                  <c:x val="0.00164"/>
                  <c:y val="-0.063740000000000005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5"/>
              <c:dLblPos val="inEnd"/>
              <c:layout>
                <c:manualLayout>
                  <c:x val="0.00329"/>
                  <c:y val="-0.063740000000000005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6"/>
              <c:dLblPos val="inEnd"/>
              <c:layout>
                <c:manualLayout>
                  <c:x val="0"/>
                  <c:y val="-0.05367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7"/>
              <c:dLblPos val="inEnd"/>
              <c:layout>
                <c:manualLayout>
                  <c:x val="0"/>
                  <c:y val="-0.06038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8"/>
              <c:dLblPos val="inEnd"/>
              <c:layout>
                <c:manualLayout>
                  <c:x val="-0.00164"/>
                  <c:y val="-0.06038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9"/>
              <c:dLblPos val="inEnd"/>
              <c:layout>
                <c:manualLayout>
                  <c:x val="-0.00164"/>
                  <c:y val="-0.063740000000000005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0"/>
              <c:dLblPos val="inEnd"/>
              <c:layout>
                <c:manualLayout>
                  <c:x val="0"/>
                  <c:y val="-0.073810000000000001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1"/>
              <c:dLblPos val="inEnd"/>
              <c:layout>
                <c:manualLayout>
                  <c:x val="-0.00164"/>
                  <c:y val="-0.07044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2"/>
              <c:dLblPos val="inEnd"/>
              <c:layout>
                <c:manualLayout>
                  <c:x val="-0.00164"/>
                  <c:y val="-0.060389999999999999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>
              <c:idx val="13"/>
              <c:dLblPos val="inEnd"/>
              <c:layout>
                <c:manualLayout>
                  <c:x val="-0.00329"/>
                  <c:y val="-0.063740000000000005"/>
                </c:manualLayout>
              </c:layout>
              <c:showBubbleSize val="0"/>
              <c:showCatName val="0"/>
              <c:showLegendKey val="0"/>
              <c:showPercent val="0"/>
              <c:showSerName val="0"/>
              <c:showVal val="1"/>
              <c:txPr>
                <a:bodyPr/>
                <a:p>
                  <a:pPr>
                    <a:defRPr>
                      <a:latin typeface="Times New Roman"/>
                      <a:ea typeface="Times New Roman"/>
                      <a:cs typeface="Times New Roman"/>
                    </a:defRPr>
                  </a:pPr>
                  <a:endParaRPr/>
                </a:p>
              </c:txPr>
            </c:dLbl>
            <c:dLblPos val="inEnd"/>
            <c:showBubbleSize val="0"/>
            <c:showCatName val="0"/>
            <c:showLeaderLines val="0"/>
            <c:showLegendKey val="0"/>
            <c:showPercent val="0"/>
            <c:showSerName val="0"/>
            <c:showVal val="1"/>
            <c:txPr>
              <a:bodyPr/>
              <a:p>
                <a:pPr>
                  <a:defRPr>
                    <a:latin typeface="Times New Roman"/>
                    <a:ea typeface="Times New Roman"/>
                    <a:cs typeface="Times New Roman"/>
                  </a:defRPr>
                </a:pPr>
                <a:endParaRPr/>
              </a:p>
            </c:txPr>
          </c:dLbls>
          <c:cat>
            <c:strRef>
              <c:f>Лист1!$A$2:$A$15</c:f>
              <c:strCache>
                <c:ptCount val="14"/>
                <c:pt idx="0">
                  <c:v xml:space="preserve">2011 год</c:v>
                </c:pt>
                <c:pt idx="1">
                  <c:v xml:space="preserve">2012 год</c:v>
                </c:pt>
                <c:pt idx="2">
                  <c:v xml:space="preserve">2013 год</c:v>
                </c:pt>
                <c:pt idx="3">
                  <c:v xml:space="preserve">2014 год</c:v>
                </c:pt>
                <c:pt idx="4">
                  <c:v xml:space="preserve">2015 год</c:v>
                </c:pt>
                <c:pt idx="5">
                  <c:v xml:space="preserve">2016 год</c:v>
                </c:pt>
                <c:pt idx="6">
                  <c:v xml:space="preserve">2017 год</c:v>
                </c:pt>
                <c:pt idx="7">
                  <c:v xml:space="preserve">2018 год</c:v>
                </c:pt>
                <c:pt idx="8">
                  <c:v xml:space="preserve">2019 год</c:v>
                </c:pt>
                <c:pt idx="9">
                  <c:v xml:space="preserve">2020 год</c:v>
                </c:pt>
                <c:pt idx="10">
                  <c:v xml:space="preserve">2021 год</c:v>
                </c:pt>
                <c:pt idx="11">
                  <c:v xml:space="preserve">2022 год</c:v>
                </c:pt>
                <c:pt idx="12">
                  <c:v xml:space="preserve">2023 год</c:v>
                </c:pt>
                <c:pt idx="13">
                  <c:v xml:space="preserve">2024 год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200</c:v>
                </c:pt>
                <c:pt idx="1">
                  <c:v>182</c:v>
                </c:pt>
                <c:pt idx="2">
                  <c:v>86</c:v>
                </c:pt>
                <c:pt idx="3">
                  <c:v>185</c:v>
                </c:pt>
                <c:pt idx="4">
                  <c:v>252</c:v>
                </c:pt>
                <c:pt idx="5">
                  <c:v>321</c:v>
                </c:pt>
                <c:pt idx="6">
                  <c:v>131</c:v>
                </c:pt>
                <c:pt idx="7">
                  <c:v>60</c:v>
                </c:pt>
                <c:pt idx="8">
                  <c:v>161</c:v>
                </c:pt>
                <c:pt idx="9">
                  <c:v>93</c:v>
                </c:pt>
                <c:pt idx="10">
                  <c:v>65</c:v>
                </c:pt>
                <c:pt idx="11">
                  <c:v>74</c:v>
                </c:pt>
                <c:pt idx="12">
                  <c:v>90</c:v>
                </c:pt>
                <c:pt idx="13">
                  <c:v>101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 xml:space="preserve">2011 год</c:v>
                </c:pt>
                <c:pt idx="1">
                  <c:v xml:space="preserve">2012 год</c:v>
                </c:pt>
                <c:pt idx="2">
                  <c:v xml:space="preserve">2013 год</c:v>
                </c:pt>
                <c:pt idx="3">
                  <c:v xml:space="preserve">2014 год</c:v>
                </c:pt>
                <c:pt idx="4">
                  <c:v xml:space="preserve">2015 год</c:v>
                </c:pt>
                <c:pt idx="5">
                  <c:v xml:space="preserve">2016 год</c:v>
                </c:pt>
                <c:pt idx="6">
                  <c:v xml:space="preserve">2017 год</c:v>
                </c:pt>
                <c:pt idx="7">
                  <c:v xml:space="preserve">2018 год</c:v>
                </c:pt>
                <c:pt idx="8">
                  <c:v xml:space="preserve">2019 год</c:v>
                </c:pt>
                <c:pt idx="9">
                  <c:v xml:space="preserve">2020 год</c:v>
                </c:pt>
                <c:pt idx="10">
                  <c:v xml:space="preserve">2021 год</c:v>
                </c:pt>
                <c:pt idx="11">
                  <c:v xml:space="preserve">2022 год</c:v>
                </c:pt>
                <c:pt idx="12">
                  <c:v xml:space="preserve">2023 год</c:v>
                </c:pt>
                <c:pt idx="13">
                  <c:v xml:space="preserve">2024 год</c:v>
                </c:pt>
              </c:strCache>
            </c:strRef>
          </c:cat>
          <c:val>
            <c:numRef>
              <c:f>Лист1!$C$2:$C$15</c:f>
              <c:numCache>
                <c:formatCode>General</c:formatCode>
                <c:ptCount val="1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 xml:space="preserve">2011 год</c:v>
                </c:pt>
                <c:pt idx="1">
                  <c:v xml:space="preserve">2012 год</c:v>
                </c:pt>
                <c:pt idx="2">
                  <c:v xml:space="preserve">2013 год</c:v>
                </c:pt>
                <c:pt idx="3">
                  <c:v xml:space="preserve">2014 год</c:v>
                </c:pt>
                <c:pt idx="4">
                  <c:v xml:space="preserve">2015 год</c:v>
                </c:pt>
                <c:pt idx="5">
                  <c:v xml:space="preserve">2016 год</c:v>
                </c:pt>
                <c:pt idx="6">
                  <c:v xml:space="preserve">2017 год</c:v>
                </c:pt>
                <c:pt idx="7">
                  <c:v xml:space="preserve">2018 год</c:v>
                </c:pt>
                <c:pt idx="8">
                  <c:v xml:space="preserve">2019 год</c:v>
                </c:pt>
                <c:pt idx="9">
                  <c:v xml:space="preserve">2020 год</c:v>
                </c:pt>
                <c:pt idx="10">
                  <c:v xml:space="preserve">2021 год</c:v>
                </c:pt>
                <c:pt idx="11">
                  <c:v xml:space="preserve">2022 год</c:v>
                </c:pt>
                <c:pt idx="12">
                  <c:v xml:space="preserve">2023 год</c:v>
                </c:pt>
                <c:pt idx="13">
                  <c:v xml:space="preserve">2024 год</c:v>
                </c:pt>
              </c:strCache>
            </c:strRef>
          </c:cat>
          <c:val>
            <c:numRef>
              <c:f>Лист1!$D$2:$D$15</c:f>
              <c:numCache>
                <c:formatCode>General</c:formatCode>
                <c:ptCount val="14"/>
              </c:numCache>
            </c:numRef>
          </c:val>
        </c:ser>
        <c:dLbls>
          <c:showBubbleSize val="0"/>
          <c:showCatName val="0"/>
          <c:showLeaderLines val="0"/>
          <c:showLegendKey val="0"/>
          <c:showPercent val="0"/>
          <c:showSerName val="0"/>
          <c:showVal val="0"/>
        </c:dLbls>
        <c:gapWidth val="150"/>
        <c:overlap val="100"/>
        <c:axId val="161837568"/>
        <c:axId val="184659904"/>
      </c:barChart>
      <c:catAx>
        <c:axId val="16183756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p>
            <a:pPr>
              <a:defRPr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84659904"/>
        <c:crosses val="autoZero"/>
        <c:auto val="1"/>
        <c:lblAlgn val="ctr"/>
        <c:lblOffset val="100"/>
        <c:noMultiLvlLbl val="0"/>
      </c:catAx>
      <c:valAx>
        <c:axId val="184659904"/>
        <c:scaling>
          <c:orientation val="minMax"/>
        </c:scaling>
        <c:delete val="0"/>
        <c:axPos val="l"/>
        <c:majorGridlines>
          <c:spPr bwMode="auto"/>
        </c:majorGridlines>
        <c:numFmt formatCode="General" sourceLinked="1"/>
        <c:majorTickMark val="out"/>
        <c:minorTickMark val="none"/>
        <c:tickLblPos val="nextTo"/>
        <c:txPr>
          <a:bodyPr/>
          <a:p>
            <a:pPr>
              <a:defRPr>
                <a:latin typeface="Times New Roman"/>
                <a:ea typeface="Times New Roman"/>
                <a:cs typeface="Times New Roman"/>
              </a:defRPr>
            </a:pPr>
            <a:endParaRPr/>
          </a:p>
        </c:txPr>
        <c:crossAx val="161837568"/>
        <c:crosses val="autoZero"/>
        <c:crossBetween val="between"/>
      </c:valAx>
    </c:plotArea>
    <c:plotVisOnly val="1"/>
    <c:dispBlanksAs val="gap"/>
    <c:showDLblsOverMax val="0"/>
  </c:chart>
  <c:spPr bwMode="auto">
    <a:xfrm>
      <a:off x="0" y="0"/>
      <a:ext cx="5773477" cy="2838889"/>
    </a:xfrm>
  </c:spPr>
  <c:externalData r:id="rId1">
    <c:autoUpdate val="0"/>
  </c:externalData>
</c:chartSpace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 xmlns:r="http://schemas.openxmlformats.org/officeDocument/2006/relationships" xmlns:p="http://schemas.openxmlformats.org/presentation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Arial"/>
      <a:cs typeface="Arial"/>
    </a:majorFont>
    <a:minorFont>
      <a:latin typeface="Calibri"/>
      <a:ea typeface="Arial"/>
      <a:cs typeface="Arial"/>
    </a:minorFont>
  </a:fontScheme>
  <a:fmtScheme name="Стандартная">
    <a:fillStyleLst>
      <a:solidFill>
        <a:schemeClr val="phClr"/>
      </a:solidFill>
      <a:gradFill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</a:effectStyleLst>
    <a:bgFillStyleLst>
      <a:solidFill>
        <a:schemeClr val="phClr"/>
      </a:solidFill>
      <a:gradFill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/>
      </a:gradFill>
      <a:gradFill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/>
      </a:gradFill>
    </a:bgFillStyleLst>
  </a:fmtScheme>
</a:themeOverrid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B0B0D-9EF1-43B7-9671-C2E105104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231</cp:revision>
  <dcterms:created xsi:type="dcterms:W3CDTF">2012-02-10T18:01:00Z</dcterms:created>
  <dcterms:modified xsi:type="dcterms:W3CDTF">2024-04-15T11:29:44Z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