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b/>
        </w:rPr>
      </w:pPr>
      <w:r>
        <w:rPr>
          <w:b/>
        </w:rPr>
        <w:t xml:space="preserve">Сообщение</w:t>
      </w:r>
      <w:r/>
    </w:p>
    <w:p>
      <w:pPr>
        <w:jc w:val="center"/>
        <w:spacing w:after="0"/>
        <w:rPr>
          <w:b/>
        </w:rPr>
      </w:pPr>
      <w:r>
        <w:rPr>
          <w:b/>
        </w:rPr>
        <w:t xml:space="preserve">о возможном установлении публичн</w:t>
      </w:r>
      <w:r>
        <w:rPr>
          <w:b/>
        </w:rPr>
        <w:t xml:space="preserve">ого</w:t>
      </w:r>
      <w:r>
        <w:rPr>
          <w:b/>
        </w:rPr>
        <w:t xml:space="preserve"> сервитут</w:t>
      </w:r>
      <w:r>
        <w:rPr>
          <w:b/>
        </w:rPr>
        <w:t xml:space="preserve">а</w:t>
      </w:r>
      <w:r>
        <w:rPr>
          <w:b/>
        </w:rPr>
        <w:t xml:space="preserve"> </w:t>
      </w:r>
      <w:r>
        <w:rPr>
          <w:b/>
        </w:rPr>
        <w:t xml:space="preserve">для</w:t>
      </w:r>
      <w:r/>
    </w:p>
    <w:p>
      <w:pPr>
        <w:jc w:val="center"/>
        <w:spacing w:after="0"/>
        <w:rPr>
          <w:b/>
        </w:rPr>
      </w:pPr>
      <w:r>
        <w:rPr>
          <w:b/>
        </w:rPr>
        <w:t xml:space="preserve">размещения</w:t>
      </w:r>
      <w:r>
        <w:rPr>
          <w:b/>
        </w:rPr>
        <w:t xml:space="preserve"> </w:t>
      </w:r>
      <w:r>
        <w:rPr>
          <w:b/>
        </w:rPr>
        <w:t xml:space="preserve">(</w:t>
      </w:r>
      <w:r>
        <w:rPr>
          <w:b/>
        </w:rPr>
        <w:t xml:space="preserve">эксплуатации</w:t>
      </w:r>
      <w:r>
        <w:rPr>
          <w:b/>
        </w:rPr>
        <w:t xml:space="preserve">)</w:t>
      </w:r>
      <w:r>
        <w:rPr>
          <w:b/>
        </w:rPr>
        <w:t xml:space="preserve"> объекта регионального значения Ханты-Мансийского автономного округа – Югры «Отпайка высоковольтной линии-110кВ на подстанции «Бобровская» 2 цепь (ВЛ-110кВ «Белоярская (Н.Казым)-Перегребное» 2 цепь)»</w:t>
      </w:r>
      <w:r/>
    </w:p>
    <w:p>
      <w:pPr>
        <w:jc w:val="center"/>
        <w:spacing w:after="0"/>
        <w:rPr>
          <w:b/>
        </w:rPr>
      </w:pPr>
      <w:r>
        <w:rPr>
          <w:b/>
        </w:rPr>
      </w:r>
      <w:r/>
    </w:p>
    <w:p>
      <w:pPr>
        <w:ind w:firstLine="709"/>
        <w:jc w:val="both"/>
        <w:spacing w:after="0"/>
        <w:rPr>
          <w:b/>
        </w:rPr>
      </w:pPr>
      <w:r>
        <w:t xml:space="preserve">В соответствии со стать</w:t>
      </w:r>
      <w:r>
        <w:t xml:space="preserve">е</w:t>
      </w:r>
      <w:r>
        <w:t xml:space="preserve">й 39.42 Земельного кодекса Российской Федерации</w:t>
      </w:r>
      <w:r>
        <w:t xml:space="preserve">,</w:t>
      </w:r>
      <w:r>
        <w:t xml:space="preserve"> </w:t>
      </w:r>
      <w:r>
        <w:t xml:space="preserve">в связи с </w:t>
      </w:r>
      <w:r>
        <w:t xml:space="preserve">ходатайств</w:t>
      </w:r>
      <w:r>
        <w:t xml:space="preserve">ом</w:t>
      </w:r>
      <w:r>
        <w:t xml:space="preserve"> </w:t>
      </w:r>
      <w:r>
        <w:rPr>
          <w:szCs w:val="28"/>
        </w:rPr>
        <w:t xml:space="preserve">акционерного общества</w:t>
      </w:r>
      <w:r>
        <w:rPr>
          <w:szCs w:val="28"/>
        </w:rPr>
        <w:t xml:space="preserve"> «</w:t>
      </w:r>
      <w:r>
        <w:rPr>
          <w:szCs w:val="28"/>
        </w:rPr>
        <w:t xml:space="preserve">Россети Тюмень</w:t>
      </w:r>
      <w:r>
        <w:rPr>
          <w:szCs w:val="28"/>
        </w:rPr>
        <w:t xml:space="preserve">»</w:t>
      </w:r>
      <w:r>
        <w:t xml:space="preserve">, </w:t>
      </w:r>
      <w:r>
        <w:t xml:space="preserve">Департамент по управлению государственным имуществом Ханты-Мансийского автономного округа – Югры</w:t>
      </w:r>
      <w:r>
        <w:t xml:space="preserve"> </w:t>
      </w:r>
      <w:r>
        <w:t xml:space="preserve">информирует</w:t>
      </w:r>
      <w:r>
        <w:br/>
      </w:r>
      <w:r>
        <w:t xml:space="preserve">о возможном установлении публичн</w:t>
      </w:r>
      <w:r>
        <w:t xml:space="preserve">ого</w:t>
      </w:r>
      <w:r>
        <w:t xml:space="preserve"> сервитут</w:t>
      </w:r>
      <w:r>
        <w:t xml:space="preserve">а</w:t>
      </w:r>
      <w:r>
        <w:t xml:space="preserve"> </w:t>
      </w:r>
      <w:r>
        <w:t xml:space="preserve">с целью </w:t>
      </w:r>
      <w:r>
        <w:t xml:space="preserve">размещения (эксплуатации) объекта регионального значения </w:t>
      </w:r>
      <w:r>
        <w:t xml:space="preserve">Ханты-Мансийского автономного округа – Югры</w:t>
      </w:r>
      <w:r>
        <w:t xml:space="preserve"> «Отпайка высоковольтной линии-110кВ</w:t>
        <w:br/>
        <w:t xml:space="preserve">на подстанции «Бобровская» 2 цепь (ВЛ-110кВ «Белоярская (Н.Казым)-Перегребное» 2 цепь)»</w:t>
      </w:r>
      <w:r>
        <w:t xml:space="preserve"> </w:t>
      </w:r>
      <w:r>
        <w:rPr>
          <w:bCs/>
        </w:rPr>
        <w:t xml:space="preserve">на </w:t>
      </w:r>
      <w:r>
        <w:rPr>
          <w:bCs/>
        </w:rPr>
        <w:t xml:space="preserve">территории</w:t>
      </w:r>
      <w:r>
        <w:rPr>
          <w:bCs/>
        </w:rPr>
        <w:t xml:space="preserve"> </w:t>
      </w:r>
      <w:r>
        <w:rPr>
          <w:bCs/>
        </w:rPr>
        <w:t xml:space="preserve">муниципальн</w:t>
      </w:r>
      <w:r>
        <w:rPr>
          <w:bCs/>
        </w:rPr>
        <w:t xml:space="preserve">ого</w:t>
      </w:r>
      <w:r>
        <w:rPr>
          <w:bCs/>
        </w:rPr>
        <w:t xml:space="preserve"> образован</w:t>
      </w:r>
      <w:r>
        <w:rPr>
          <w:bCs/>
        </w:rPr>
        <w:t xml:space="preserve">и</w:t>
      </w:r>
      <w:r>
        <w:rPr>
          <w:bCs/>
        </w:rPr>
        <w:t xml:space="preserve">я</w:t>
      </w:r>
      <w:r>
        <w:rPr>
          <w:bCs/>
        </w:rPr>
        <w:t xml:space="preserve"> Белоярский</w:t>
      </w:r>
      <w:r>
        <w:rPr>
          <w:bCs/>
        </w:rPr>
        <w:t xml:space="preserve"> район</w:t>
      </w:r>
      <w:r>
        <w:rPr>
          <w:bCs/>
        </w:rPr>
        <w:t xml:space="preserve">.</w:t>
      </w:r>
      <w:r/>
    </w:p>
    <w:p>
      <w:pPr>
        <w:ind w:firstLine="709"/>
        <w:jc w:val="center"/>
        <w:spacing w:after="0"/>
        <w:rPr>
          <w:b/>
        </w:rPr>
      </w:pPr>
      <w:r>
        <w:rPr>
          <w:b/>
        </w:rPr>
      </w:r>
      <w:r/>
    </w:p>
    <w:p>
      <w:pPr>
        <w:pStyle w:val="870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 xml:space="preserve">Н</w:t>
      </w:r>
      <w:r>
        <w:rPr>
          <w:b/>
        </w:rPr>
        <w:t xml:space="preserve">аименование уполномоченного органа, которым рассматривается ходатайство об ус</w:t>
      </w:r>
      <w:r>
        <w:rPr>
          <w:b/>
        </w:rPr>
        <w:t xml:space="preserve">тановлении публичного сервитута.</w:t>
      </w:r>
      <w:r/>
    </w:p>
    <w:p>
      <w:pPr>
        <w:pStyle w:val="870"/>
        <w:ind w:left="0" w:firstLine="709"/>
        <w:jc w:val="both"/>
      </w:pPr>
      <w:r>
        <w:t xml:space="preserve">Департамент по управлению государственным имуществом Ханты-Мансийского автономного округа – Югры</w:t>
      </w:r>
      <w:r>
        <w:t xml:space="preserve">.</w:t>
      </w:r>
      <w:r/>
    </w:p>
    <w:p>
      <w:pPr>
        <w:pStyle w:val="870"/>
        <w:ind w:left="0" w:firstLine="709"/>
        <w:jc w:val="both"/>
      </w:pPr>
      <w:r/>
      <w:r/>
    </w:p>
    <w:p>
      <w:pPr>
        <w:pStyle w:val="870"/>
        <w:numPr>
          <w:ilvl w:val="0"/>
          <w:numId w:val="2"/>
        </w:numPr>
        <w:ind w:left="0" w:firstLine="709"/>
        <w:jc w:val="both"/>
        <w:rPr>
          <w:b/>
        </w:rPr>
      </w:pPr>
      <w:r>
        <w:rPr>
          <w:b/>
        </w:rPr>
        <w:t xml:space="preserve">Цели установления публичного сервитута.</w:t>
      </w:r>
      <w:r/>
    </w:p>
    <w:p>
      <w:pPr>
        <w:ind w:firstLine="708"/>
        <w:jc w:val="both"/>
        <w:spacing w:after="0"/>
        <w:rPr>
          <w:b/>
        </w:rPr>
      </w:pPr>
      <w:r>
        <w:t xml:space="preserve">Размещение (эксплуатация) объекта регионального значения </w:t>
      </w:r>
      <w:r>
        <w:t xml:space="preserve">Ханты-Мансийского автономного округа – Югры</w:t>
      </w:r>
      <w:r>
        <w:t xml:space="preserve"> </w:t>
      </w:r>
      <w:r>
        <w:t xml:space="preserve">«Отпайка высоковольтной линии-110кВ на подстанции «Бобровская» 2 цепь (ВЛ-110кВ «Белоярская (Н.Казым)-Перегребное» 2 цепь)»</w:t>
      </w:r>
      <w:r>
        <w:rPr>
          <w:bCs/>
        </w:rPr>
        <w:t xml:space="preserve">.</w:t>
      </w:r>
      <w:r/>
    </w:p>
    <w:p>
      <w:pPr>
        <w:ind w:firstLine="709"/>
        <w:jc w:val="both"/>
        <w:spacing w:after="0"/>
      </w:pPr>
      <w:r/>
      <w:r/>
    </w:p>
    <w:p>
      <w:pPr>
        <w:pStyle w:val="870"/>
        <w:numPr>
          <w:ilvl w:val="0"/>
          <w:numId w:val="2"/>
        </w:numPr>
        <w:ind w:left="0" w:firstLine="709"/>
        <w:jc w:val="both"/>
        <w:spacing w:after="0"/>
        <w:rPr>
          <w:b/>
        </w:rPr>
      </w:pPr>
      <w:r>
        <w:rPr>
          <w:b/>
        </w:rPr>
        <w:t xml:space="preserve">Адрес или иное описание местоположения земельного участка (участков), в отношении которого испрашивается публичный сервитут, кадастровые номера земельных участков (при их наличии), в отношении которых испрашивается публичный сервитут.</w:t>
      </w:r>
      <w:r/>
    </w:p>
    <w:p>
      <w:pPr>
        <w:jc w:val="both"/>
        <w:rPr>
          <w:b/>
          <w:sz w:val="18"/>
        </w:rPr>
      </w:pPr>
      <w:r>
        <w:rPr>
          <w:b/>
          <w:sz w:val="18"/>
        </w:rPr>
      </w:r>
      <w:r/>
    </w:p>
    <w:p>
      <w:pPr>
        <w:jc w:val="both"/>
        <w:rPr>
          <w:b/>
          <w:sz w:val="18"/>
        </w:rPr>
        <w:sectPr>
          <w:headerReference w:type="default" r:id="rId9"/>
          <w:headerReference w:type="first" r:id="rId10"/>
          <w:footnotePr/>
          <w:endnotePr/>
          <w:type w:val="continuous"/>
          <w:pgSz w:w="11906" w:h="16838" w:orient="portrait"/>
          <w:pgMar w:top="1418" w:right="1276" w:bottom="1134" w:left="1559" w:header="708" w:footer="708" w:gutter="0"/>
          <w:cols w:num="1" w:sep="0" w:space="708" w:equalWidth="1"/>
          <w:docGrid w:linePitch="360"/>
        </w:sectPr>
      </w:pPr>
      <w:r>
        <w:rPr>
          <w:b/>
          <w:sz w:val="18"/>
        </w:rPr>
      </w:r>
      <w:r/>
    </w:p>
    <w:tbl>
      <w:tblPr>
        <w:tblW w:w="147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634"/>
        <w:gridCol w:w="2590"/>
      </w:tblGrid>
      <w:tr>
        <w:trPr>
          <w:cantSplit/>
          <w:jc w:val="center"/>
          <w:trHeight w:val="20"/>
          <w:tblHeader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iCs/>
                <w:sz w:val="22"/>
                <w:lang w:eastAsia="ru-RU"/>
              </w:rPr>
              <w:t xml:space="preserve">№ п/п</w:t>
            </w:r>
            <w:r>
              <w:rPr>
                <w:rFonts w:eastAsia="Times New Roman" w:cs="Times New Roman"/>
                <w:iCs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634" w:type="dxa"/>
            <w:vAlign w:val="center"/>
            <w:textDirection w:val="lrTb"/>
            <w:noWrap w:val="false"/>
          </w:tcPr>
          <w:p>
            <w:pPr>
              <w:ind w:left="-113" w:right="-108"/>
              <w:jc w:val="center"/>
              <w:spacing w:after="0" w:line="240" w:lineRule="auto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Муниципальное образование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259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Кадастровый номер кадастрового квартала</w:t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</w:tr>
      <w:tr>
        <w:trPr>
          <w:cantSplit/>
          <w:jc w:val="center"/>
          <w:trHeight w:val="587"/>
        </w:trPr>
        <w:tc>
          <w:tcPr>
            <w:shd w:val="clear" w:color="ffffff" w:fill="ffffff"/>
            <w:tcW w:w="56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color w:val="000000"/>
                <w:sz w:val="22"/>
              </w:rPr>
              <w:t xml:space="preserve">1</w:t>
            </w:r>
            <w:r>
              <w:rPr>
                <w:rFonts w:eastAsia="Times New Roman" w:cs="Times New Roman"/>
                <w:iCs/>
                <w:sz w:val="22"/>
                <w:lang w:eastAsia="ru-RU"/>
              </w:rPr>
            </w:r>
            <w:r/>
          </w:p>
        </w:tc>
        <w:tc>
          <w:tcPr>
            <w:shd w:val="clear" w:color="ffffff" w:fill="ffffff"/>
            <w:tcW w:w="1634" w:type="dxa"/>
            <w:vAlign w:val="center"/>
            <w:textDirection w:val="lrTb"/>
            <w:noWrap w:val="false"/>
          </w:tcPr>
          <w:p>
            <w:pPr>
              <w:ind w:left="-175" w:right="-108"/>
              <w:jc w:val="center"/>
              <w:spacing w:after="0" w:line="240" w:lineRule="auto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Белоярский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район</w:t>
            </w:r>
            <w:r>
              <w:rPr>
                <w:rFonts w:eastAsia="Times New Roman" w:cs="Times New Roman"/>
                <w:sz w:val="22"/>
                <w:szCs w:val="22"/>
                <w:lang w:eastAsia="ru-RU"/>
              </w:rPr>
            </w:r>
            <w:r/>
          </w:p>
        </w:tc>
        <w:tc>
          <w:tcPr>
            <w:tcW w:w="2590" w:type="dxa"/>
            <w:vAlign w:val="center"/>
            <w:textDirection w:val="lrTb"/>
            <w:noWrap w:val="false"/>
          </w:tcPr>
          <w:p>
            <w:pPr>
              <w:ind w:left="-146" w:right="-7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</w:rPr>
              <w:t xml:space="preserve">86:06:0020708 </w:t>
            </w:r>
            <w:r>
              <w:rPr>
                <w:rFonts w:cs="Times New Roman"/>
                <w:sz w:val="22"/>
              </w:rPr>
            </w:r>
            <w:r/>
          </w:p>
        </w:tc>
      </w:tr>
      <w:tr>
        <w:trPr>
          <w:trHeight w:val="587"/>
        </w:trPr>
        <w:tc>
          <w:tcPr>
            <w:shd w:val="clear" w:color="ffffff" w:fill="ffffff"/>
            <w:tcW w:w="56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</w:rPr>
              <w:t xml:space="preserve">2</w:t>
            </w:r>
            <w:r>
              <w:rPr>
                <w:color w:val="000000"/>
                <w:sz w:val="22"/>
              </w:rPr>
            </w:r>
            <w:r/>
          </w:p>
        </w:tc>
        <w:tc>
          <w:tcPr>
            <w:shd w:val="clear" w:color="ffffff" w:fill="ffffff"/>
            <w:tcW w:w="1634" w:type="dxa"/>
            <w:vAlign w:val="center"/>
            <w:vMerge w:val="restart"/>
            <w:textDirection w:val="lrTb"/>
            <w:noWrap w:val="false"/>
          </w:tcPr>
          <w:p>
            <w:pPr>
              <w:ind w:left="-175" w:right="-108"/>
              <w:jc w:val="center"/>
              <w:spacing w:after="0" w:line="240" w:lineRule="auto"/>
            </w:pPr>
            <w:r>
              <w:rPr>
                <w:rFonts w:eastAsia="Times New Roman" w:cs="Times New Roman"/>
                <w:sz w:val="22"/>
                <w:lang w:eastAsia="ru-RU"/>
              </w:rPr>
              <w:t xml:space="preserve">Белоярский </w:t>
            </w:r>
            <w:r>
              <w:rPr>
                <w:rFonts w:eastAsia="Times New Roman" w:cs="Times New Roman"/>
                <w:sz w:val="22"/>
                <w:lang w:eastAsia="ru-RU"/>
              </w:rPr>
              <w:t xml:space="preserve">район</w:t>
            </w:r>
            <w:r>
              <w:rPr>
                <w:rFonts w:eastAsia="Times New Roman" w:cs="Times New Roman"/>
                <w:lang w:eastAsia="ru-RU"/>
              </w:rPr>
            </w:r>
            <w:r/>
          </w:p>
          <w:p>
            <w:pPr>
              <w:ind w:left="-175" w:right="-108"/>
              <w:jc w:val="center"/>
              <w:spacing w:after="0" w:line="240" w:lineRule="auto"/>
              <w:rPr>
                <w:rFonts w:eastAsia="Times New Roman" w:cs="Times New Roman"/>
                <w:szCs w:val="22"/>
                <w:lang w:eastAsia="ru-RU"/>
              </w:rPr>
            </w:pPr>
            <w:r>
              <w:rPr>
                <w:rFonts w:eastAsia="Times New Roman" w:cs="Times New Roman"/>
                <w:sz w:val="22"/>
                <w:lang w:eastAsia="ru-RU"/>
              </w:rPr>
            </w:r>
            <w:r>
              <w:rPr>
                <w:rFonts w:eastAsia="Times New Roman" w:cs="Times New Roman"/>
                <w:sz w:val="22"/>
                <w:lang w:eastAsia="ru-RU"/>
              </w:rPr>
            </w:r>
            <w:r/>
          </w:p>
        </w:tc>
        <w:tc>
          <w:tcPr>
            <w:tcW w:w="2590" w:type="dxa"/>
            <w:vAlign w:val="center"/>
            <w:vMerge w:val="restart"/>
            <w:textDirection w:val="lrTb"/>
            <w:noWrap w:val="false"/>
          </w:tcPr>
          <w:p>
            <w:pPr>
              <w:ind w:left="-146" w:right="-70"/>
              <w:jc w:val="center"/>
              <w:rPr>
                <w:rFonts w:cs="Times New Roman"/>
                <w:szCs w:val="22"/>
              </w:rPr>
            </w:pPr>
            <w:r>
              <w:rPr>
                <w:rFonts w:cs="Times New Roman"/>
                <w:sz w:val="22"/>
              </w:rPr>
              <w:t xml:space="preserve">86:06:0020601</w:t>
            </w:r>
            <w:r>
              <w:rPr>
                <w:rFonts w:cs="Times New Roman"/>
                <w:sz w:val="22"/>
              </w:rPr>
            </w:r>
            <w:r/>
          </w:p>
        </w:tc>
      </w:tr>
    </w:tbl>
    <w:p>
      <w:pPr>
        <w:pStyle w:val="870"/>
        <w:ind w:left="709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</w:r>
      <w:r/>
    </w:p>
    <w:p>
      <w:pPr>
        <w:jc w:val="both"/>
        <w:spacing w:after="0" w:line="240" w:lineRule="auto"/>
        <w:rPr>
          <w:b/>
          <w:szCs w:val="28"/>
        </w:rPr>
        <w:sectPr>
          <w:footnotePr/>
          <w:endnotePr/>
          <w:type w:val="nextPage"/>
          <w:pgSz w:w="16838" w:h="11906" w:orient="landscape"/>
          <w:pgMar w:top="1418" w:right="1276" w:bottom="1134" w:left="1559" w:header="709" w:footer="709" w:gutter="0"/>
          <w:cols w:num="1" w:sep="0" w:space="708" w:equalWidth="1"/>
          <w:docGrid w:linePitch="360"/>
        </w:sectPr>
      </w:pPr>
      <w:r>
        <w:rPr>
          <w:b/>
          <w:szCs w:val="28"/>
        </w:rPr>
      </w:r>
      <w:r/>
    </w:p>
    <w:p>
      <w:pPr>
        <w:pStyle w:val="870"/>
        <w:numPr>
          <w:ilvl w:val="0"/>
          <w:numId w:val="2"/>
        </w:numPr>
        <w:ind w:left="0" w:firstLine="709"/>
        <w:jc w:val="both"/>
        <w:spacing w:after="0" w:line="240" w:lineRule="auto"/>
        <w:rPr>
          <w:b/>
          <w:szCs w:val="28"/>
        </w:rPr>
      </w:pPr>
      <w:r>
        <w:rPr>
          <w:b/>
          <w:szCs w:val="28"/>
        </w:rPr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</w:t>
      </w:r>
      <w:r>
        <w:rPr>
          <w:b/>
          <w:szCs w:val="28"/>
        </w:rPr>
        <w:br/>
      </w:r>
      <w:r>
        <w:rPr>
          <w:b/>
          <w:szCs w:val="28"/>
        </w:rPr>
        <w:t xml:space="preserve">об учете прав на земельные участки, а также срок подачи указанных заявлений, время приема заинтересованных лиц для ознакомления</w:t>
      </w:r>
      <w:r>
        <w:rPr>
          <w:b/>
          <w:szCs w:val="28"/>
        </w:rPr>
        <w:br/>
      </w:r>
      <w:r>
        <w:rPr>
          <w:b/>
          <w:szCs w:val="28"/>
        </w:rPr>
        <w:t xml:space="preserve">с поступившим ходатайством об установлении публичного сервитута.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прилагаемой</w:t>
      </w:r>
      <w:r>
        <w:rPr>
          <w:szCs w:val="28"/>
        </w:rPr>
        <w:br/>
      </w:r>
      <w:r>
        <w:rPr>
          <w:szCs w:val="28"/>
        </w:rPr>
        <w:t xml:space="preserve">к нему схемой расположе</w:t>
      </w:r>
      <w:r>
        <w:rPr>
          <w:szCs w:val="28"/>
        </w:rPr>
        <w:t xml:space="preserve">ния границ публичного сервитута: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в </w:t>
      </w:r>
      <w:r>
        <w:rPr>
          <w:szCs w:val="28"/>
        </w:rPr>
        <w:t xml:space="preserve">Департаменте по управлению государственным имуществом Ханты-Мансийского автономного округа – Югры по адресу: г. Ханты-Мансийск, ул. Ленина, дом 54/1, </w:t>
      </w:r>
      <w:r>
        <w:rPr>
          <w:szCs w:val="28"/>
        </w:rPr>
        <w:t xml:space="preserve">время приема: понедельник, среда, пятница с 14.00 до 17.00.</w:t>
      </w:r>
      <w:r/>
    </w:p>
    <w:p>
      <w:pPr>
        <w:ind w:firstLine="709"/>
        <w:jc w:val="both"/>
        <w:spacing w:after="0" w:line="240" w:lineRule="auto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Подать заявлени</w:t>
      </w:r>
      <w:r>
        <w:rPr>
          <w:szCs w:val="28"/>
          <w:shd w:val="clear" w:color="auto" w:fill="ffffff"/>
        </w:rPr>
        <w:t xml:space="preserve">е</w:t>
      </w:r>
      <w:r>
        <w:rPr>
          <w:szCs w:val="28"/>
          <w:shd w:val="clear" w:color="auto" w:fill="ffffff"/>
        </w:rPr>
        <w:t xml:space="preserve"> об учёте прав на земельный участок, в отношении которого</w:t>
      </w:r>
      <w:r>
        <w:rPr>
          <w:szCs w:val="28"/>
        </w:rPr>
        <w:t xml:space="preserve"> поступило ходатайство об установлении публичного сервитута,</w:t>
      </w:r>
      <w:r>
        <w:rPr>
          <w:szCs w:val="28"/>
        </w:rPr>
        <w:br/>
      </w:r>
      <w:r>
        <w:rPr>
          <w:szCs w:val="28"/>
        </w:rPr>
        <w:t xml:space="preserve">в течени</w:t>
      </w:r>
      <w:r>
        <w:rPr>
          <w:szCs w:val="28"/>
        </w:rPr>
        <w:t xml:space="preserve">е</w:t>
      </w:r>
      <w:r>
        <w:rPr>
          <w:szCs w:val="28"/>
        </w:rPr>
        <w:t xml:space="preserve"> 15 дней с момента публикации настоящего сообщения, </w:t>
      </w:r>
      <w:r>
        <w:rPr>
          <w:szCs w:val="28"/>
          <w:shd w:val="clear" w:color="auto" w:fill="ffffff"/>
        </w:rPr>
        <w:t xml:space="preserve">заинтересованные лица могут: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  <w:shd w:val="clear" w:color="auto" w:fill="ffffff"/>
        </w:rPr>
        <w:t xml:space="preserve">в </w:t>
      </w:r>
      <w:r>
        <w:rPr>
          <w:szCs w:val="28"/>
        </w:rPr>
        <w:t xml:space="preserve">Департамент по управлению государственным имуществом Ханты-Мансийского автономного округа – Югры по адресу: г. Ханты-Мансийск, ул. Ленина, дом 54/1, или на адрес электронной почты </w:t>
      </w:r>
      <w:hyperlink r:id="rId11" w:tooltip="mailto:dgs@admhmao.ru" w:history="1">
        <w:r>
          <w:rPr>
            <w:rStyle w:val="865"/>
            <w:szCs w:val="28"/>
            <w:lang w:val="en-US"/>
          </w:rPr>
          <w:t xml:space="preserve">dgs</w:t>
        </w:r>
        <w:r>
          <w:rPr>
            <w:rStyle w:val="865"/>
            <w:szCs w:val="28"/>
          </w:rPr>
          <w:t xml:space="preserve">@</w:t>
        </w:r>
        <w:r>
          <w:rPr>
            <w:rStyle w:val="865"/>
            <w:szCs w:val="28"/>
            <w:lang w:val="en-US"/>
          </w:rPr>
          <w:t xml:space="preserve">admhmao</w:t>
        </w:r>
        <w:r>
          <w:rPr>
            <w:rStyle w:val="865"/>
            <w:szCs w:val="28"/>
          </w:rPr>
          <w:t xml:space="preserve">.</w:t>
        </w:r>
        <w:r>
          <w:rPr>
            <w:rStyle w:val="865"/>
            <w:szCs w:val="28"/>
            <w:lang w:val="en-US"/>
          </w:rPr>
          <w:t xml:space="preserve">ru</w:t>
        </w:r>
      </w:hyperlink>
      <w:r>
        <w:rPr>
          <w:szCs w:val="28"/>
        </w:rPr>
        <w:t xml:space="preserve">;</w:t>
      </w:r>
      <w:r/>
    </w:p>
    <w:p>
      <w:pPr>
        <w:ind w:firstLine="709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pStyle w:val="870"/>
        <w:numPr>
          <w:ilvl w:val="0"/>
          <w:numId w:val="2"/>
        </w:numPr>
        <w:ind w:left="0" w:firstLine="709"/>
        <w:jc w:val="both"/>
        <w:spacing w:after="0" w:line="240" w:lineRule="auto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сервитута.</w:t>
      </w:r>
      <w:r/>
    </w:p>
    <w:p>
      <w:pPr>
        <w:ind w:firstLine="709"/>
        <w:jc w:val="both"/>
        <w:spacing w:after="0" w:line="240" w:lineRule="auto"/>
        <w:rPr>
          <w:rStyle w:val="865"/>
          <w:szCs w:val="28"/>
        </w:rPr>
      </w:pPr>
      <w:r>
        <w:rPr>
          <w:szCs w:val="28"/>
        </w:rPr>
        <w:t xml:space="preserve">- </w:t>
      </w:r>
      <w:hyperlink r:id="rId12" w:tooltip="https://depgosim.admhmao.ru/" w:history="1">
        <w:r>
          <w:rPr>
            <w:rStyle w:val="865"/>
            <w:szCs w:val="28"/>
            <w:lang w:val="en-US"/>
          </w:rPr>
          <w:t xml:space="preserve">https</w:t>
        </w:r>
        <w:r>
          <w:rPr>
            <w:rStyle w:val="865"/>
            <w:szCs w:val="28"/>
          </w:rPr>
          <w:t xml:space="preserve">://</w:t>
        </w:r>
        <w:r>
          <w:rPr>
            <w:rStyle w:val="865"/>
            <w:szCs w:val="28"/>
            <w:lang w:val="en-US"/>
          </w:rPr>
          <w:t xml:space="preserve">depgosim</w:t>
        </w:r>
        <w:r>
          <w:rPr>
            <w:rStyle w:val="865"/>
            <w:szCs w:val="28"/>
          </w:rPr>
          <w:t xml:space="preserve">.</w:t>
        </w:r>
        <w:r>
          <w:rPr>
            <w:rStyle w:val="865"/>
            <w:szCs w:val="28"/>
            <w:lang w:val="en-US"/>
          </w:rPr>
          <w:t xml:space="preserve">admhmao</w:t>
        </w:r>
        <w:r>
          <w:rPr>
            <w:rStyle w:val="865"/>
            <w:szCs w:val="28"/>
          </w:rPr>
          <w:t xml:space="preserve">.</w:t>
        </w:r>
        <w:r>
          <w:rPr>
            <w:rStyle w:val="865"/>
            <w:szCs w:val="28"/>
            <w:lang w:val="en-US"/>
          </w:rPr>
          <w:t xml:space="preserve">ru</w:t>
        </w:r>
        <w:r>
          <w:rPr>
            <w:rStyle w:val="865"/>
            <w:szCs w:val="28"/>
          </w:rPr>
          <w:t xml:space="preserve">/</w:t>
        </w:r>
      </w:hyperlink>
      <w:r/>
      <w:r/>
    </w:p>
    <w:p>
      <w:pPr>
        <w:ind w:firstLine="709"/>
        <w:jc w:val="both"/>
        <w:spacing w:after="0" w:line="240" w:lineRule="auto"/>
        <w:rPr>
          <w:highlight w:val="none"/>
        </w:rPr>
      </w:pPr>
      <w:r>
        <w:rPr>
          <w:szCs w:val="28"/>
        </w:rPr>
        <w:t xml:space="preserve">- </w:t>
      </w:r>
      <w:r>
        <w:rPr>
          <w:szCs w:val="28"/>
        </w:rPr>
      </w:r>
      <w:hyperlink r:id="rId13" w:tooltip="https://www.admbel.ru/" w:history="1">
        <w:r>
          <w:rPr>
            <w:rStyle w:val="865"/>
            <w:szCs w:val="28"/>
          </w:rPr>
          <w:t xml:space="preserve">https://www.admbel.ru/</w:t>
        </w:r>
        <w:r>
          <w:rPr>
            <w:rStyle w:val="865"/>
          </w:rPr>
        </w:r>
        <w:r>
          <w:rPr>
            <w:rStyle w:val="865"/>
          </w:rPr>
        </w:r>
      </w:hyperlink>
      <w:r/>
      <w:r/>
    </w:p>
    <w:p>
      <w:pPr>
        <w:ind w:firstLine="567"/>
        <w:jc w:val="both"/>
        <w:spacing w:after="0" w:line="240" w:lineRule="auto"/>
        <w:rPr>
          <w:szCs w:val="28"/>
        </w:rPr>
      </w:pPr>
      <w:r>
        <w:rPr>
          <w:szCs w:val="28"/>
        </w:rPr>
      </w:r>
      <w:r/>
    </w:p>
    <w:p>
      <w:pPr>
        <w:ind w:left="2127" w:hanging="1701"/>
        <w:jc w:val="both"/>
        <w:spacing w:after="0" w:line="240" w:lineRule="auto"/>
        <w:rPr>
          <w:szCs w:val="28"/>
        </w:rPr>
      </w:pPr>
      <w:r>
        <w:rPr>
          <w:szCs w:val="28"/>
        </w:rPr>
        <w:t xml:space="preserve">Приложение: </w:t>
      </w:r>
      <w:r>
        <w:rPr>
          <w:szCs w:val="28"/>
        </w:rPr>
        <w:t xml:space="preserve">Описани</w:t>
      </w:r>
      <w:r>
        <w:rPr>
          <w:szCs w:val="28"/>
        </w:rPr>
        <w:t xml:space="preserve">е</w:t>
      </w:r>
      <w:r>
        <w:rPr>
          <w:szCs w:val="28"/>
        </w:rPr>
        <w:t xml:space="preserve"> местоположения границ публичн</w:t>
      </w:r>
      <w:r>
        <w:rPr>
          <w:szCs w:val="28"/>
        </w:rPr>
        <w:t xml:space="preserve">ого </w:t>
      </w:r>
      <w:r>
        <w:rPr>
          <w:szCs w:val="28"/>
        </w:rPr>
        <w:t xml:space="preserve">сервитут</w:t>
      </w:r>
      <w:r>
        <w:rPr>
          <w:szCs w:val="28"/>
        </w:rPr>
        <w:t xml:space="preserve">а</w:t>
      </w:r>
      <w:r/>
    </w:p>
    <w:p>
      <w:pPr>
        <w:ind w:firstLine="567"/>
        <w:jc w:val="both"/>
        <w:spacing w:after="0" w:line="240" w:lineRule="auto"/>
        <w:rPr>
          <w:sz w:val="2"/>
          <w:szCs w:val="2"/>
        </w:rPr>
      </w:pPr>
      <w:r>
        <w:rPr>
          <w:sz w:val="2"/>
          <w:szCs w:val="2"/>
        </w:rPr>
      </w:r>
      <w:r/>
    </w:p>
    <w:sectPr>
      <w:footnotePr/>
      <w:endnotePr/>
      <w:type w:val="nextPage"/>
      <w:pgSz w:w="11906" w:h="16838" w:orient="portrait"/>
      <w:pgMar w:top="1418" w:right="1276" w:bottom="1134" w:left="1559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1639248468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6</w:t>
        </w:r>
        <w:r>
          <w:fldChar w:fldCharType="end"/>
        </w:r>
        <w:r/>
      </w:p>
    </w:sdtContent>
  </w:sdt>
  <w:p>
    <w:pPr>
      <w:pStyle w:val="866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1525742143"/>
      <w:docPartObj>
        <w:docPartGallery w:val="Page Numbers (Top of Page)"/>
        <w:docPartUnique w:val="true"/>
      </w:docPartObj>
      <w:rPr/>
    </w:sdtPr>
    <w:sdtContent>
      <w:p>
        <w:pPr>
          <w:pStyle w:val="86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7</w:t>
        </w:r>
        <w:r>
          <w:fldChar w:fldCharType="end"/>
        </w:r>
        <w:r/>
      </w:p>
    </w:sdtContent>
  </w:sdt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31" w:hanging="564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Theme="minorHAnsi" w:cstheme="minorBidi"/>
        <w:sz w:val="28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8">
    <w:name w:val="Heading 1 Char"/>
    <w:basedOn w:val="861"/>
    <w:link w:val="860"/>
    <w:uiPriority w:val="9"/>
    <w:rPr>
      <w:rFonts w:ascii="Arial" w:hAnsi="Arial" w:eastAsia="Arial" w:cs="Arial"/>
      <w:sz w:val="40"/>
      <w:szCs w:val="40"/>
    </w:rPr>
  </w:style>
  <w:style w:type="paragraph" w:styleId="689">
    <w:name w:val="Heading 2"/>
    <w:basedOn w:val="859"/>
    <w:next w:val="859"/>
    <w:link w:val="69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0">
    <w:name w:val="Heading 2 Char"/>
    <w:basedOn w:val="861"/>
    <w:link w:val="689"/>
    <w:uiPriority w:val="9"/>
    <w:rPr>
      <w:rFonts w:ascii="Arial" w:hAnsi="Arial" w:eastAsia="Arial" w:cs="Arial"/>
      <w:sz w:val="34"/>
    </w:rPr>
  </w:style>
  <w:style w:type="paragraph" w:styleId="691">
    <w:name w:val="Heading 3"/>
    <w:basedOn w:val="859"/>
    <w:next w:val="859"/>
    <w:link w:val="692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2">
    <w:name w:val="Heading 3 Char"/>
    <w:basedOn w:val="861"/>
    <w:link w:val="691"/>
    <w:uiPriority w:val="9"/>
    <w:rPr>
      <w:rFonts w:ascii="Arial" w:hAnsi="Arial" w:eastAsia="Arial" w:cs="Arial"/>
      <w:sz w:val="30"/>
      <w:szCs w:val="30"/>
    </w:rPr>
  </w:style>
  <w:style w:type="paragraph" w:styleId="693">
    <w:name w:val="Heading 4"/>
    <w:basedOn w:val="859"/>
    <w:next w:val="859"/>
    <w:link w:val="694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4">
    <w:name w:val="Heading 4 Char"/>
    <w:basedOn w:val="861"/>
    <w:link w:val="693"/>
    <w:uiPriority w:val="9"/>
    <w:rPr>
      <w:rFonts w:ascii="Arial" w:hAnsi="Arial" w:eastAsia="Arial" w:cs="Arial"/>
      <w:b/>
      <w:bCs/>
      <w:sz w:val="26"/>
      <w:szCs w:val="26"/>
    </w:rPr>
  </w:style>
  <w:style w:type="paragraph" w:styleId="695">
    <w:name w:val="Heading 5"/>
    <w:basedOn w:val="859"/>
    <w:next w:val="859"/>
    <w:link w:val="696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6">
    <w:name w:val="Heading 5 Char"/>
    <w:basedOn w:val="861"/>
    <w:link w:val="695"/>
    <w:uiPriority w:val="9"/>
    <w:rPr>
      <w:rFonts w:ascii="Arial" w:hAnsi="Arial" w:eastAsia="Arial" w:cs="Arial"/>
      <w:b/>
      <w:bCs/>
      <w:sz w:val="24"/>
      <w:szCs w:val="24"/>
    </w:rPr>
  </w:style>
  <w:style w:type="paragraph" w:styleId="697">
    <w:name w:val="Heading 6"/>
    <w:basedOn w:val="859"/>
    <w:next w:val="859"/>
    <w:link w:val="69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8">
    <w:name w:val="Heading 6 Char"/>
    <w:basedOn w:val="86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paragraph" w:styleId="699">
    <w:name w:val="Heading 7"/>
    <w:basedOn w:val="859"/>
    <w:next w:val="859"/>
    <w:link w:val="7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0">
    <w:name w:val="Heading 7 Char"/>
    <w:basedOn w:val="861"/>
    <w:link w:val="69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1">
    <w:name w:val="Heading 8"/>
    <w:basedOn w:val="859"/>
    <w:next w:val="859"/>
    <w:link w:val="702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2">
    <w:name w:val="Heading 8 Char"/>
    <w:basedOn w:val="861"/>
    <w:link w:val="701"/>
    <w:uiPriority w:val="9"/>
    <w:rPr>
      <w:rFonts w:ascii="Arial" w:hAnsi="Arial" w:eastAsia="Arial" w:cs="Arial"/>
      <w:i/>
      <w:iCs/>
      <w:sz w:val="22"/>
      <w:szCs w:val="22"/>
    </w:rPr>
  </w:style>
  <w:style w:type="paragraph" w:styleId="703">
    <w:name w:val="Heading 9"/>
    <w:basedOn w:val="859"/>
    <w:next w:val="859"/>
    <w:link w:val="704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4">
    <w:name w:val="Heading 9 Char"/>
    <w:basedOn w:val="861"/>
    <w:link w:val="703"/>
    <w:uiPriority w:val="9"/>
    <w:rPr>
      <w:rFonts w:ascii="Arial" w:hAnsi="Arial" w:eastAsia="Arial" w:cs="Arial"/>
      <w:i/>
      <w:iCs/>
      <w:sz w:val="21"/>
      <w:szCs w:val="21"/>
    </w:rPr>
  </w:style>
  <w:style w:type="paragraph" w:styleId="705">
    <w:name w:val="Title"/>
    <w:basedOn w:val="859"/>
    <w:next w:val="859"/>
    <w:link w:val="70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6">
    <w:name w:val="Title Char"/>
    <w:basedOn w:val="861"/>
    <w:link w:val="705"/>
    <w:uiPriority w:val="10"/>
    <w:rPr>
      <w:sz w:val="48"/>
      <w:szCs w:val="48"/>
    </w:rPr>
  </w:style>
  <w:style w:type="paragraph" w:styleId="707">
    <w:name w:val="Subtitle"/>
    <w:basedOn w:val="859"/>
    <w:next w:val="859"/>
    <w:link w:val="708"/>
    <w:uiPriority w:val="11"/>
    <w:qFormat/>
    <w:pPr>
      <w:spacing w:before="200" w:after="200"/>
    </w:pPr>
    <w:rPr>
      <w:sz w:val="24"/>
      <w:szCs w:val="24"/>
    </w:rPr>
  </w:style>
  <w:style w:type="character" w:styleId="708">
    <w:name w:val="Subtitle Char"/>
    <w:basedOn w:val="861"/>
    <w:link w:val="707"/>
    <w:uiPriority w:val="11"/>
    <w:rPr>
      <w:sz w:val="24"/>
      <w:szCs w:val="24"/>
    </w:rPr>
  </w:style>
  <w:style w:type="paragraph" w:styleId="709">
    <w:name w:val="Quote"/>
    <w:basedOn w:val="859"/>
    <w:next w:val="859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9"/>
    <w:next w:val="859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character" w:styleId="713">
    <w:name w:val="Header Char"/>
    <w:basedOn w:val="861"/>
    <w:link w:val="866"/>
    <w:uiPriority w:val="99"/>
  </w:style>
  <w:style w:type="character" w:styleId="714">
    <w:name w:val="Footer Char"/>
    <w:basedOn w:val="861"/>
    <w:link w:val="868"/>
    <w:uiPriority w:val="99"/>
  </w:style>
  <w:style w:type="paragraph" w:styleId="715">
    <w:name w:val="Caption"/>
    <w:basedOn w:val="859"/>
    <w:next w:val="85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6">
    <w:name w:val="Caption Char"/>
    <w:basedOn w:val="715"/>
    <w:link w:val="868"/>
    <w:uiPriority w:val="99"/>
  </w:style>
  <w:style w:type="table" w:styleId="717">
    <w:name w:val="Table Grid Light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basedOn w:val="86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basedOn w:val="86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16">
    <w:name w:val="List Table 7 Colorful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17">
    <w:name w:val="List Table 7 Colorful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8">
    <w:name w:val="List Table 7 Colorful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9">
    <w:name w:val="List Table 7 Colorful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0">
    <w:name w:val="List Table 7 Colorful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1">
    <w:name w:val="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3">
    <w:name w:val="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4">
    <w:name w:val="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5">
    <w:name w:val="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6">
    <w:name w:val="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7">
    <w:name w:val="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8">
    <w:name w:val="Bordered &amp; Lined - Accent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0">
    <w:name w:val="Bordered &amp; Lined - Accent 2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1">
    <w:name w:val="Bordered &amp; Lined - Accent 3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2">
    <w:name w:val="Bordered &amp; Lined - Accent 4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3">
    <w:name w:val="Bordered &amp; Lined - Accent 5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4">
    <w:name w:val="Bordered &amp; Lined - Accent 6"/>
    <w:basedOn w:val="86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5">
    <w:name w:val="Bordered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basedOn w:val="86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2">
    <w:name w:val="footnote text"/>
    <w:basedOn w:val="859"/>
    <w:link w:val="843"/>
    <w:uiPriority w:val="99"/>
    <w:semiHidden/>
    <w:unhideWhenUsed/>
    <w:pPr>
      <w:spacing w:after="40" w:line="240" w:lineRule="auto"/>
    </w:pPr>
    <w:rPr>
      <w:sz w:val="18"/>
    </w:rPr>
  </w:style>
  <w:style w:type="character" w:styleId="843">
    <w:name w:val="Footnote Text Char"/>
    <w:link w:val="842"/>
    <w:uiPriority w:val="99"/>
    <w:rPr>
      <w:sz w:val="18"/>
    </w:rPr>
  </w:style>
  <w:style w:type="character" w:styleId="844">
    <w:name w:val="footnote reference"/>
    <w:basedOn w:val="861"/>
    <w:uiPriority w:val="99"/>
    <w:unhideWhenUsed/>
    <w:rPr>
      <w:vertAlign w:val="superscript"/>
    </w:rPr>
  </w:style>
  <w:style w:type="paragraph" w:styleId="845">
    <w:name w:val="endnote text"/>
    <w:basedOn w:val="859"/>
    <w:link w:val="846"/>
    <w:uiPriority w:val="99"/>
    <w:semiHidden/>
    <w:unhideWhenUsed/>
    <w:pPr>
      <w:spacing w:after="0" w:line="240" w:lineRule="auto"/>
    </w:pPr>
    <w:rPr>
      <w:sz w:val="20"/>
    </w:rPr>
  </w:style>
  <w:style w:type="character" w:styleId="846">
    <w:name w:val="Endnote Text Char"/>
    <w:link w:val="845"/>
    <w:uiPriority w:val="99"/>
    <w:rPr>
      <w:sz w:val="20"/>
    </w:rPr>
  </w:style>
  <w:style w:type="character" w:styleId="847">
    <w:name w:val="endnote reference"/>
    <w:basedOn w:val="861"/>
    <w:uiPriority w:val="99"/>
    <w:semiHidden/>
    <w:unhideWhenUsed/>
    <w:rPr>
      <w:vertAlign w:val="superscript"/>
    </w:rPr>
  </w:style>
  <w:style w:type="paragraph" w:styleId="848">
    <w:name w:val="toc 1"/>
    <w:basedOn w:val="859"/>
    <w:next w:val="859"/>
    <w:uiPriority w:val="39"/>
    <w:unhideWhenUsed/>
    <w:pPr>
      <w:ind w:left="0" w:right="0" w:firstLine="0"/>
      <w:spacing w:after="57"/>
    </w:pPr>
  </w:style>
  <w:style w:type="paragraph" w:styleId="849">
    <w:name w:val="toc 2"/>
    <w:basedOn w:val="859"/>
    <w:next w:val="859"/>
    <w:uiPriority w:val="39"/>
    <w:unhideWhenUsed/>
    <w:pPr>
      <w:ind w:left="283" w:right="0" w:firstLine="0"/>
      <w:spacing w:after="57"/>
    </w:pPr>
  </w:style>
  <w:style w:type="paragraph" w:styleId="850">
    <w:name w:val="toc 3"/>
    <w:basedOn w:val="859"/>
    <w:next w:val="859"/>
    <w:uiPriority w:val="39"/>
    <w:unhideWhenUsed/>
    <w:pPr>
      <w:ind w:left="567" w:right="0" w:firstLine="0"/>
      <w:spacing w:after="57"/>
    </w:pPr>
  </w:style>
  <w:style w:type="paragraph" w:styleId="851">
    <w:name w:val="toc 4"/>
    <w:basedOn w:val="859"/>
    <w:next w:val="859"/>
    <w:uiPriority w:val="39"/>
    <w:unhideWhenUsed/>
    <w:pPr>
      <w:ind w:left="850" w:right="0" w:firstLine="0"/>
      <w:spacing w:after="57"/>
    </w:pPr>
  </w:style>
  <w:style w:type="paragraph" w:styleId="852">
    <w:name w:val="toc 5"/>
    <w:basedOn w:val="859"/>
    <w:next w:val="859"/>
    <w:uiPriority w:val="39"/>
    <w:unhideWhenUsed/>
    <w:pPr>
      <w:ind w:left="1134" w:right="0" w:firstLine="0"/>
      <w:spacing w:after="57"/>
    </w:pPr>
  </w:style>
  <w:style w:type="paragraph" w:styleId="853">
    <w:name w:val="toc 6"/>
    <w:basedOn w:val="859"/>
    <w:next w:val="859"/>
    <w:uiPriority w:val="39"/>
    <w:unhideWhenUsed/>
    <w:pPr>
      <w:ind w:left="1417" w:right="0" w:firstLine="0"/>
      <w:spacing w:after="57"/>
    </w:pPr>
  </w:style>
  <w:style w:type="paragraph" w:styleId="854">
    <w:name w:val="toc 7"/>
    <w:basedOn w:val="859"/>
    <w:next w:val="859"/>
    <w:uiPriority w:val="39"/>
    <w:unhideWhenUsed/>
    <w:pPr>
      <w:ind w:left="1701" w:right="0" w:firstLine="0"/>
      <w:spacing w:after="57"/>
    </w:pPr>
  </w:style>
  <w:style w:type="paragraph" w:styleId="855">
    <w:name w:val="toc 8"/>
    <w:basedOn w:val="859"/>
    <w:next w:val="859"/>
    <w:uiPriority w:val="39"/>
    <w:unhideWhenUsed/>
    <w:pPr>
      <w:ind w:left="1984" w:right="0" w:firstLine="0"/>
      <w:spacing w:after="57"/>
    </w:pPr>
  </w:style>
  <w:style w:type="paragraph" w:styleId="856">
    <w:name w:val="toc 9"/>
    <w:basedOn w:val="859"/>
    <w:next w:val="859"/>
    <w:uiPriority w:val="39"/>
    <w:unhideWhenUsed/>
    <w:pPr>
      <w:ind w:left="2268" w:right="0" w:firstLine="0"/>
      <w:spacing w:after="57"/>
    </w:pPr>
  </w:style>
  <w:style w:type="paragraph" w:styleId="857">
    <w:name w:val="TOC Heading"/>
    <w:uiPriority w:val="39"/>
    <w:unhideWhenUsed/>
  </w:style>
  <w:style w:type="paragraph" w:styleId="858">
    <w:name w:val="table of figures"/>
    <w:basedOn w:val="859"/>
    <w:next w:val="859"/>
    <w:uiPriority w:val="99"/>
    <w:unhideWhenUsed/>
    <w:pPr>
      <w:spacing w:after="0" w:afterAutospacing="0"/>
    </w:pPr>
  </w:style>
  <w:style w:type="paragraph" w:styleId="859" w:default="1">
    <w:name w:val="Normal"/>
    <w:qFormat/>
  </w:style>
  <w:style w:type="paragraph" w:styleId="860">
    <w:name w:val="Heading 1"/>
    <w:basedOn w:val="859"/>
    <w:next w:val="859"/>
    <w:link w:val="872"/>
    <w:uiPriority w:val="9"/>
    <w:qFormat/>
    <w:pPr>
      <w:keepLines/>
      <w:keepNext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61" w:default="1">
    <w:name w:val="Default Paragraph Font"/>
    <w:uiPriority w:val="1"/>
    <w:semiHidden/>
    <w:unhideWhenUsed/>
  </w:style>
  <w:style w:type="table" w:styleId="86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3" w:default="1">
    <w:name w:val="No List"/>
    <w:uiPriority w:val="99"/>
    <w:semiHidden/>
    <w:unhideWhenUsed/>
  </w:style>
  <w:style w:type="table" w:styleId="864">
    <w:name w:val="Table Grid"/>
    <w:basedOn w:val="86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65">
    <w:name w:val="Hyperlink"/>
    <w:basedOn w:val="861"/>
    <w:uiPriority w:val="99"/>
    <w:unhideWhenUsed/>
    <w:rPr>
      <w:color w:val="0563c1" w:themeColor="hyperlink"/>
      <w:u w:val="single"/>
    </w:rPr>
  </w:style>
  <w:style w:type="paragraph" w:styleId="866">
    <w:name w:val="Header"/>
    <w:basedOn w:val="859"/>
    <w:link w:val="86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7" w:customStyle="1">
    <w:name w:val="Верхний колонтитул Знак"/>
    <w:basedOn w:val="861"/>
    <w:link w:val="866"/>
    <w:uiPriority w:val="99"/>
  </w:style>
  <w:style w:type="paragraph" w:styleId="868">
    <w:name w:val="Footer"/>
    <w:basedOn w:val="859"/>
    <w:link w:val="86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61"/>
    <w:link w:val="868"/>
    <w:uiPriority w:val="99"/>
  </w:style>
  <w:style w:type="paragraph" w:styleId="870">
    <w:name w:val="List Paragraph"/>
    <w:basedOn w:val="859"/>
    <w:uiPriority w:val="34"/>
    <w:qFormat/>
    <w:pPr>
      <w:contextualSpacing/>
      <w:ind w:left="720"/>
    </w:pPr>
  </w:style>
  <w:style w:type="paragraph" w:styleId="871">
    <w:name w:val="No Spacing"/>
    <w:uiPriority w:val="1"/>
    <w:qFormat/>
    <w:pPr>
      <w:spacing w:after="0" w:line="240" w:lineRule="auto"/>
    </w:pPr>
  </w:style>
  <w:style w:type="character" w:styleId="872" w:customStyle="1">
    <w:name w:val="Заголовок 1 Знак"/>
    <w:basedOn w:val="861"/>
    <w:link w:val="860"/>
    <w:uiPriority w:val="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873">
    <w:name w:val="FollowedHyperlink"/>
    <w:basedOn w:val="861"/>
    <w:uiPriority w:val="99"/>
    <w:semiHidden/>
    <w:unhideWhenUsed/>
    <w:rPr>
      <w:color w:val="954f72" w:themeColor="followed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yperlink" Target="mailto:dgs@admhmao.ru" TargetMode="External"/><Relationship Id="rId12" Type="http://schemas.openxmlformats.org/officeDocument/2006/relationships/hyperlink" Target="https://depgosim.admhmao.ru/" TargetMode="External"/><Relationship Id="rId13" Type="http://schemas.openxmlformats.org/officeDocument/2006/relationships/hyperlink" Target="https://www.admbel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Белозерцев Олег Юрьевич</dc:creator>
  <cp:revision>18</cp:revision>
  <dcterms:created xsi:type="dcterms:W3CDTF">2023-03-09T13:46:00Z</dcterms:created>
  <dcterms:modified xsi:type="dcterms:W3CDTF">2023-06-23T07:55:33Z</dcterms:modified>
</cp:coreProperties>
</file>