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F0" w:rsidRPr="00955FD2" w:rsidRDefault="009A0FF0" w:rsidP="009A0F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FD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C220DD" w:rsidRPr="00955FD2" w:rsidRDefault="009A0FF0" w:rsidP="009A0F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FD2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Стратегии социально-экономического развития </w:t>
      </w:r>
    </w:p>
    <w:p w:rsidR="009A0FF0" w:rsidRPr="00955FD2" w:rsidRDefault="009A0FF0" w:rsidP="009A0F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FD2">
        <w:rPr>
          <w:rFonts w:ascii="Times New Roman" w:eastAsia="Calibri" w:hAnsi="Times New Roman" w:cs="Times New Roman"/>
          <w:b/>
          <w:sz w:val="24"/>
          <w:szCs w:val="24"/>
        </w:rPr>
        <w:t>Белоярского района</w:t>
      </w:r>
      <w:r w:rsidR="00C220DD" w:rsidRPr="00955F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5FD2">
        <w:rPr>
          <w:rFonts w:ascii="Times New Roman" w:eastAsia="Calibri" w:hAnsi="Times New Roman" w:cs="Times New Roman"/>
          <w:b/>
          <w:sz w:val="24"/>
          <w:szCs w:val="24"/>
        </w:rPr>
        <w:t xml:space="preserve">до 2030 года </w:t>
      </w:r>
    </w:p>
    <w:p w:rsidR="009A0FF0" w:rsidRPr="00955FD2" w:rsidRDefault="00453874" w:rsidP="00955F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55FD2">
        <w:rPr>
          <w:rFonts w:ascii="Times New Roman" w:hAnsi="Times New Roman" w:cs="Times New Roman"/>
          <w:sz w:val="24"/>
          <w:szCs w:val="24"/>
        </w:rPr>
        <w:t>за 202</w:t>
      </w:r>
      <w:r w:rsidR="00955FD2" w:rsidRPr="00955FD2">
        <w:rPr>
          <w:rFonts w:ascii="Times New Roman" w:hAnsi="Times New Roman" w:cs="Times New Roman"/>
          <w:sz w:val="24"/>
          <w:szCs w:val="24"/>
        </w:rPr>
        <w:t>2</w:t>
      </w:r>
      <w:r w:rsidR="009A0FF0" w:rsidRPr="00955F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A0FF0" w:rsidRPr="00955FD2" w:rsidRDefault="009A0FF0" w:rsidP="009A0FF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2127"/>
        <w:gridCol w:w="1842"/>
        <w:gridCol w:w="1524"/>
      </w:tblGrid>
      <w:tr w:rsidR="00650DD3" w:rsidRPr="00650DD3" w:rsidTr="00C75EBF">
        <w:tc>
          <w:tcPr>
            <w:tcW w:w="9067" w:type="dxa"/>
            <w:vAlign w:val="center"/>
          </w:tcPr>
          <w:p w:rsidR="009A0FF0" w:rsidRPr="00650DD3" w:rsidRDefault="009A0FF0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7" w:type="dxa"/>
            <w:vAlign w:val="center"/>
          </w:tcPr>
          <w:p w:rsidR="00EC7F76" w:rsidRPr="00650DD3" w:rsidRDefault="00650DD3" w:rsidP="00EC7F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EC7F76" w:rsidRPr="0065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A0FF0" w:rsidRPr="00650DD3" w:rsidRDefault="00EC7F76" w:rsidP="00EC7F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842" w:type="dxa"/>
            <w:vAlign w:val="center"/>
          </w:tcPr>
          <w:p w:rsidR="009A0FF0" w:rsidRPr="00650DD3" w:rsidRDefault="00650DD3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9A0FF0" w:rsidRPr="0065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A0FF0" w:rsidRPr="00650DD3" w:rsidRDefault="009A0FF0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524" w:type="dxa"/>
            <w:vAlign w:val="center"/>
          </w:tcPr>
          <w:p w:rsidR="009A0FF0" w:rsidRPr="00650DD3" w:rsidRDefault="00650DD3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на 2022</w:t>
            </w:r>
            <w:r w:rsidR="009A0FF0" w:rsidRPr="0065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0DD3" w:rsidRPr="00650DD3" w:rsidTr="00311B02">
        <w:tc>
          <w:tcPr>
            <w:tcW w:w="14560" w:type="dxa"/>
            <w:gridSpan w:val="4"/>
          </w:tcPr>
          <w:p w:rsidR="009A0FF0" w:rsidRPr="00650DD3" w:rsidRDefault="009A0FF0" w:rsidP="009A0F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Накопление и сохранение человеческого капитала</w:t>
            </w:r>
          </w:p>
        </w:tc>
      </w:tr>
      <w:tr w:rsidR="00650DD3" w:rsidRPr="00650DD3" w:rsidTr="001F7858">
        <w:tc>
          <w:tcPr>
            <w:tcW w:w="9067" w:type="dxa"/>
          </w:tcPr>
          <w:p w:rsidR="00EC7F76" w:rsidRPr="00650DD3" w:rsidRDefault="00EC7F76" w:rsidP="009A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(среднегодовая), тыс. человек</w:t>
            </w:r>
          </w:p>
        </w:tc>
        <w:tc>
          <w:tcPr>
            <w:tcW w:w="2127" w:type="dxa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</w:tc>
        <w:tc>
          <w:tcPr>
            <w:tcW w:w="1842" w:type="dxa"/>
            <w:vAlign w:val="center"/>
          </w:tcPr>
          <w:p w:rsidR="00EC7F76" w:rsidRPr="00650DD3" w:rsidRDefault="00650DD3" w:rsidP="0091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28,666</w:t>
            </w:r>
          </w:p>
        </w:tc>
        <w:tc>
          <w:tcPr>
            <w:tcW w:w="1524" w:type="dxa"/>
          </w:tcPr>
          <w:p w:rsidR="00EC7F76" w:rsidRPr="00650DD3" w:rsidRDefault="00650DD3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28,124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рождаемости, промилле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смертности, промилле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прироста, промилле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прироста, промилле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-41,9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-8,9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доходы (в месяц), рублей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57 324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49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63 322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57 474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в целом по муниципальному образованию, рублей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105 900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121 713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103 762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занятых в экономике, тыс. человек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14,901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14,394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15,469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года), %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0,938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спортивными сооружениями, % от норматива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мер поддержки, установленных государственной программой Ханты-Мансийского автономного округа – Югры «Устойчивое развитие коренных малочисленных народов Севера», человек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0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0DD3" w:rsidRPr="00650DD3" w:rsidTr="007D23D6">
        <w:tc>
          <w:tcPr>
            <w:tcW w:w="9067" w:type="dxa"/>
          </w:tcPr>
          <w:p w:rsidR="00EC7F76" w:rsidRPr="00650DD3" w:rsidRDefault="00EC7F76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сохранение культурного наследия коренных малочисленных народов, ед.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76" w:rsidRPr="00650DD3" w:rsidRDefault="00650DD3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DD3" w:rsidRPr="00650DD3" w:rsidTr="00311B02">
        <w:tc>
          <w:tcPr>
            <w:tcW w:w="14560" w:type="dxa"/>
            <w:gridSpan w:val="4"/>
          </w:tcPr>
          <w:p w:rsidR="00ED2877" w:rsidRPr="00650DD3" w:rsidRDefault="00ED2877" w:rsidP="00ED2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b/>
                <w:sz w:val="24"/>
                <w:szCs w:val="24"/>
              </w:rPr>
              <w:t>Стабильное экономическое развитие</w:t>
            </w:r>
          </w:p>
        </w:tc>
      </w:tr>
      <w:tr w:rsidR="00650DD3" w:rsidRPr="00650DD3" w:rsidTr="00453874">
        <w:tc>
          <w:tcPr>
            <w:tcW w:w="9067" w:type="dxa"/>
            <w:tcBorders>
              <w:bottom w:val="single" w:sz="4" w:space="0" w:color="auto"/>
            </w:tcBorders>
          </w:tcPr>
          <w:p w:rsidR="00ED2877" w:rsidRPr="00650DD3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промышленного производства, </w:t>
            </w:r>
            <w:proofErr w:type="gramStart"/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млн  рублей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41 901,2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2877" w:rsidRPr="00650DD3" w:rsidRDefault="00650DD3" w:rsidP="000135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60 616,5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650DD3" w:rsidRDefault="00650DD3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84 259,0</w:t>
            </w:r>
          </w:p>
        </w:tc>
      </w:tr>
      <w:tr w:rsidR="00650DD3" w:rsidRPr="00650DD3" w:rsidTr="0045387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7" w:rsidRPr="00650DD3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промышленного производства, в % к предыдущему году в сопоставимых ценах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650DD3" w:rsidRDefault="00650DD3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650DD3" w:rsidRPr="00650DD3" w:rsidTr="00453874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650DD3" w:rsidRDefault="00C1395B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промышленной продукции:</w:t>
            </w:r>
          </w:p>
        </w:tc>
      </w:tr>
      <w:tr w:rsidR="00650DD3" w:rsidRPr="00650DD3" w:rsidTr="0045387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7" w:rsidRPr="00650DD3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Нефть сырая, включая газовый конденсат, тыс.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1 280,1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1 699,0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650DD3" w:rsidRDefault="00650DD3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3 716,2</w:t>
            </w:r>
          </w:p>
        </w:tc>
      </w:tr>
      <w:tr w:rsidR="00650DD3" w:rsidRPr="00650DD3" w:rsidTr="00453874">
        <w:tc>
          <w:tcPr>
            <w:tcW w:w="9067" w:type="dxa"/>
            <w:tcBorders>
              <w:top w:val="single" w:sz="4" w:space="0" w:color="auto"/>
            </w:tcBorders>
          </w:tcPr>
          <w:p w:rsidR="00ED2877" w:rsidRPr="00650DD3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 xml:space="preserve">Газ природный и попутный, </w:t>
            </w:r>
            <w:proofErr w:type="gramStart"/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млн  куб.</w:t>
            </w:r>
            <w:proofErr w:type="gramEnd"/>
            <w:r w:rsidRPr="00650DD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C4" w:rsidRPr="00650DD3" w:rsidRDefault="00650DD3" w:rsidP="004E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650DD3" w:rsidRPr="00650DD3" w:rsidTr="000F4A82">
        <w:tc>
          <w:tcPr>
            <w:tcW w:w="9067" w:type="dxa"/>
          </w:tcPr>
          <w:p w:rsidR="00ED2877" w:rsidRPr="00650DD3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</w:t>
            </w:r>
            <w:proofErr w:type="gramStart"/>
            <w:r w:rsidRPr="00650DD3">
              <w:rPr>
                <w:rFonts w:ascii="Times New Roman" w:hAnsi="Times New Roman" w:cs="Times New Roman"/>
                <w:sz w:val="24"/>
                <w:szCs w:val="24"/>
              </w:rPr>
              <w:t xml:space="preserve">млн  </w:t>
            </w:r>
            <w:proofErr w:type="spellStart"/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1842" w:type="dxa"/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331,2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650DD3" w:rsidRDefault="00650DD3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336,9</w:t>
            </w:r>
          </w:p>
        </w:tc>
      </w:tr>
      <w:tr w:rsidR="00650DD3" w:rsidRPr="00650DD3" w:rsidTr="000F4A82">
        <w:tc>
          <w:tcPr>
            <w:tcW w:w="9067" w:type="dxa"/>
          </w:tcPr>
          <w:p w:rsidR="00ED2877" w:rsidRPr="00650DD3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сельскохозяйственной продукции, </w:t>
            </w:r>
            <w:proofErr w:type="gramStart"/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млн  рублей</w:t>
            </w:r>
            <w:proofErr w:type="gramEnd"/>
          </w:p>
        </w:tc>
        <w:tc>
          <w:tcPr>
            <w:tcW w:w="2127" w:type="dxa"/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300,04</w:t>
            </w:r>
          </w:p>
        </w:tc>
        <w:tc>
          <w:tcPr>
            <w:tcW w:w="1842" w:type="dxa"/>
            <w:vAlign w:val="center"/>
          </w:tcPr>
          <w:p w:rsidR="00ED2877" w:rsidRPr="00650DD3" w:rsidRDefault="00650DD3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322,83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650DD3" w:rsidRDefault="00650DD3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245,61</w:t>
            </w:r>
          </w:p>
        </w:tc>
      </w:tr>
      <w:tr w:rsidR="00650DD3" w:rsidRPr="00650DD3" w:rsidTr="000F4A82">
        <w:tc>
          <w:tcPr>
            <w:tcW w:w="9067" w:type="dxa"/>
          </w:tcPr>
          <w:p w:rsidR="00ED2877" w:rsidRPr="00650DD3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сельскохозяйственной продукции, в % к предыдущему году в сопоставимых ценах</w:t>
            </w:r>
          </w:p>
        </w:tc>
        <w:tc>
          <w:tcPr>
            <w:tcW w:w="2127" w:type="dxa"/>
            <w:vAlign w:val="center"/>
          </w:tcPr>
          <w:p w:rsidR="0048163D" w:rsidRPr="00650DD3" w:rsidRDefault="00650DD3" w:rsidP="004816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842" w:type="dxa"/>
            <w:vAlign w:val="center"/>
          </w:tcPr>
          <w:p w:rsidR="00ED2877" w:rsidRPr="00650DD3" w:rsidRDefault="00650DD3" w:rsidP="005A06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eastAsia="Calibri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650DD3" w:rsidRDefault="00650DD3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650DD3" w:rsidRPr="00650DD3" w:rsidTr="00311B02">
        <w:tc>
          <w:tcPr>
            <w:tcW w:w="14560" w:type="dxa"/>
            <w:gridSpan w:val="4"/>
            <w:shd w:val="clear" w:color="auto" w:fill="auto"/>
          </w:tcPr>
          <w:p w:rsidR="00ED2877" w:rsidRPr="00650DD3" w:rsidRDefault="00ED2877" w:rsidP="00C1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D3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животноводства в хозяйствах всех категорий:</w:t>
            </w:r>
          </w:p>
        </w:tc>
      </w:tr>
      <w:tr w:rsidR="002067F1" w:rsidRPr="002067F1" w:rsidTr="00C1395B">
        <w:tc>
          <w:tcPr>
            <w:tcW w:w="9067" w:type="dxa"/>
          </w:tcPr>
          <w:p w:rsidR="00ED2877" w:rsidRPr="002067F1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Скот и птица на убой (в живом весе), т</w:t>
            </w:r>
          </w:p>
        </w:tc>
        <w:tc>
          <w:tcPr>
            <w:tcW w:w="2127" w:type="dxa"/>
            <w:vAlign w:val="center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2067F1" w:rsidRPr="002067F1" w:rsidTr="00C1395B">
        <w:tc>
          <w:tcPr>
            <w:tcW w:w="9067" w:type="dxa"/>
          </w:tcPr>
          <w:p w:rsidR="00ED2877" w:rsidRPr="002067F1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Молоко, т</w:t>
            </w:r>
          </w:p>
        </w:tc>
        <w:tc>
          <w:tcPr>
            <w:tcW w:w="2127" w:type="dxa"/>
            <w:vAlign w:val="center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842" w:type="dxa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1 270</w:t>
            </w:r>
          </w:p>
        </w:tc>
      </w:tr>
      <w:tr w:rsidR="002067F1" w:rsidRPr="002067F1" w:rsidTr="00C1395B">
        <w:tc>
          <w:tcPr>
            <w:tcW w:w="9067" w:type="dxa"/>
          </w:tcPr>
          <w:p w:rsidR="00ED2877" w:rsidRPr="002067F1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 xml:space="preserve">Яйца, </w:t>
            </w:r>
            <w:proofErr w:type="spellStart"/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тыс.штук</w:t>
            </w:r>
            <w:proofErr w:type="spellEnd"/>
          </w:p>
        </w:tc>
        <w:tc>
          <w:tcPr>
            <w:tcW w:w="2127" w:type="dxa"/>
            <w:vAlign w:val="center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842" w:type="dxa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1 330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067F1" w:rsidRPr="002067F1" w:rsidTr="00C1395B">
        <w:tc>
          <w:tcPr>
            <w:tcW w:w="9067" w:type="dxa"/>
          </w:tcPr>
          <w:p w:rsidR="00ED2877" w:rsidRPr="002067F1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(на конец года), ед.</w:t>
            </w:r>
          </w:p>
        </w:tc>
        <w:tc>
          <w:tcPr>
            <w:tcW w:w="2127" w:type="dxa"/>
            <w:vAlign w:val="center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842" w:type="dxa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1 090</w:t>
            </w:r>
          </w:p>
        </w:tc>
      </w:tr>
      <w:tr w:rsidR="002067F1" w:rsidRPr="002067F1" w:rsidTr="000F4A82">
        <w:tc>
          <w:tcPr>
            <w:tcW w:w="9067" w:type="dxa"/>
          </w:tcPr>
          <w:p w:rsidR="00ED2877" w:rsidRPr="002067F1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малых и средних предприятий, человек</w:t>
            </w:r>
          </w:p>
        </w:tc>
        <w:tc>
          <w:tcPr>
            <w:tcW w:w="2127" w:type="dxa"/>
            <w:vAlign w:val="center"/>
          </w:tcPr>
          <w:p w:rsidR="00ED2877" w:rsidRPr="002067F1" w:rsidRDefault="002067F1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1 291</w:t>
            </w:r>
          </w:p>
        </w:tc>
        <w:tc>
          <w:tcPr>
            <w:tcW w:w="1842" w:type="dxa"/>
            <w:vAlign w:val="center"/>
          </w:tcPr>
          <w:p w:rsidR="00ED2877" w:rsidRPr="002067F1" w:rsidRDefault="002067F1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1 290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4" w:rsidRPr="002067F1" w:rsidRDefault="002067F1" w:rsidP="0045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2067F1" w:rsidRPr="002067F1" w:rsidTr="000F4A82">
        <w:tc>
          <w:tcPr>
            <w:tcW w:w="9067" w:type="dxa"/>
          </w:tcPr>
          <w:p w:rsidR="00ED2877" w:rsidRPr="002067F1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субъектов малого и среднего предпринимательства, человек</w:t>
            </w:r>
          </w:p>
        </w:tc>
        <w:tc>
          <w:tcPr>
            <w:tcW w:w="2127" w:type="dxa"/>
            <w:vAlign w:val="center"/>
          </w:tcPr>
          <w:p w:rsidR="00ED2877" w:rsidRPr="002067F1" w:rsidRDefault="002067F1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3 562</w:t>
            </w:r>
          </w:p>
        </w:tc>
        <w:tc>
          <w:tcPr>
            <w:tcW w:w="1842" w:type="dxa"/>
            <w:vAlign w:val="center"/>
          </w:tcPr>
          <w:p w:rsidR="00ED2877" w:rsidRPr="002067F1" w:rsidRDefault="002067F1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3 571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2067F1" w:rsidRDefault="002067F1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</w:tr>
      <w:tr w:rsidR="002067F1" w:rsidRPr="002067F1" w:rsidTr="000F4A82">
        <w:tc>
          <w:tcPr>
            <w:tcW w:w="9067" w:type="dxa"/>
          </w:tcPr>
          <w:p w:rsidR="00ED2877" w:rsidRPr="002067F1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Удельный вес занятых в малом и среднем предпринимательстве от всех занятых в экономике муниципального района, %</w:t>
            </w:r>
          </w:p>
        </w:tc>
        <w:tc>
          <w:tcPr>
            <w:tcW w:w="2127" w:type="dxa"/>
            <w:vAlign w:val="center"/>
          </w:tcPr>
          <w:p w:rsidR="00ED2877" w:rsidRPr="002067F1" w:rsidRDefault="002067F1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42" w:type="dxa"/>
            <w:vAlign w:val="center"/>
          </w:tcPr>
          <w:p w:rsidR="00ED2877" w:rsidRPr="002067F1" w:rsidRDefault="002067F1" w:rsidP="000F4A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2067F1" w:rsidRDefault="002067F1" w:rsidP="000F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2067F1" w:rsidRPr="002067F1" w:rsidTr="005D6ED6">
        <w:tc>
          <w:tcPr>
            <w:tcW w:w="9067" w:type="dxa"/>
          </w:tcPr>
          <w:p w:rsidR="00D30A77" w:rsidRPr="002067F1" w:rsidRDefault="00D30A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км</w:t>
            </w:r>
          </w:p>
        </w:tc>
        <w:tc>
          <w:tcPr>
            <w:tcW w:w="2127" w:type="dxa"/>
            <w:vAlign w:val="center"/>
          </w:tcPr>
          <w:p w:rsidR="00D30A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842" w:type="dxa"/>
            <w:vAlign w:val="center"/>
          </w:tcPr>
          <w:p w:rsidR="00D30A77" w:rsidRPr="002067F1" w:rsidRDefault="002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77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194,57</w:t>
            </w:r>
          </w:p>
        </w:tc>
      </w:tr>
      <w:tr w:rsidR="002067F1" w:rsidRPr="002067F1" w:rsidTr="00063159">
        <w:tc>
          <w:tcPr>
            <w:tcW w:w="9067" w:type="dxa"/>
          </w:tcPr>
          <w:p w:rsidR="00D30A77" w:rsidRPr="002067F1" w:rsidRDefault="00D30A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требованиям, км</w:t>
            </w:r>
          </w:p>
        </w:tc>
        <w:tc>
          <w:tcPr>
            <w:tcW w:w="2127" w:type="dxa"/>
            <w:vAlign w:val="center"/>
          </w:tcPr>
          <w:p w:rsidR="00D30A77" w:rsidRPr="002067F1" w:rsidRDefault="002067F1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842" w:type="dxa"/>
            <w:vAlign w:val="center"/>
          </w:tcPr>
          <w:p w:rsidR="00D30A77" w:rsidRPr="002067F1" w:rsidRDefault="002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77" w:rsidRPr="002067F1" w:rsidRDefault="002067F1" w:rsidP="000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2067F1" w:rsidRPr="002067F1" w:rsidTr="00063159">
        <w:tc>
          <w:tcPr>
            <w:tcW w:w="9067" w:type="dxa"/>
          </w:tcPr>
          <w:p w:rsidR="00D30A77" w:rsidRPr="002067F1" w:rsidRDefault="00D30A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2127" w:type="dxa"/>
            <w:vAlign w:val="center"/>
          </w:tcPr>
          <w:p w:rsidR="00D30A77" w:rsidRPr="002067F1" w:rsidRDefault="002067F1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842" w:type="dxa"/>
            <w:vAlign w:val="center"/>
          </w:tcPr>
          <w:p w:rsidR="00D30A77" w:rsidRPr="002067F1" w:rsidRDefault="002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77" w:rsidRPr="002067F1" w:rsidRDefault="002067F1" w:rsidP="000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2067F1" w:rsidRPr="002067F1" w:rsidTr="00C1395B">
        <w:tc>
          <w:tcPr>
            <w:tcW w:w="9067" w:type="dxa"/>
          </w:tcPr>
          <w:p w:rsidR="00ED2877" w:rsidRPr="002067F1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Общий годовой объем ввода жилья, тыс. кв. м</w:t>
            </w:r>
          </w:p>
        </w:tc>
        <w:tc>
          <w:tcPr>
            <w:tcW w:w="2127" w:type="dxa"/>
            <w:vAlign w:val="center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42" w:type="dxa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2067F1" w:rsidRPr="002067F1" w:rsidTr="00C1395B">
        <w:tc>
          <w:tcPr>
            <w:tcW w:w="9067" w:type="dxa"/>
          </w:tcPr>
          <w:p w:rsidR="00ED2877" w:rsidRPr="002067F1" w:rsidRDefault="00ED28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приходящаяся в среднем на одного жителя, кв. м </w:t>
            </w:r>
          </w:p>
        </w:tc>
        <w:tc>
          <w:tcPr>
            <w:tcW w:w="2127" w:type="dxa"/>
            <w:vAlign w:val="center"/>
          </w:tcPr>
          <w:p w:rsidR="00ED28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42" w:type="dxa"/>
          </w:tcPr>
          <w:p w:rsidR="00ED2877" w:rsidRPr="002067F1" w:rsidRDefault="002067F1" w:rsidP="00C710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77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2067F1" w:rsidRPr="002067F1" w:rsidTr="00F74ED2">
        <w:tc>
          <w:tcPr>
            <w:tcW w:w="9067" w:type="dxa"/>
          </w:tcPr>
          <w:p w:rsidR="00F74ED2" w:rsidRPr="002067F1" w:rsidRDefault="00F74ED2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Доля ветхого и аварийного жилого фонда в общей площади жилья по району, %</w:t>
            </w:r>
          </w:p>
        </w:tc>
        <w:tc>
          <w:tcPr>
            <w:tcW w:w="2127" w:type="dxa"/>
            <w:vAlign w:val="center"/>
          </w:tcPr>
          <w:p w:rsidR="00F74ED2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42" w:type="dxa"/>
            <w:vAlign w:val="center"/>
          </w:tcPr>
          <w:p w:rsidR="00F74ED2" w:rsidRPr="002067F1" w:rsidRDefault="002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D2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67F1" w:rsidRPr="002067F1" w:rsidTr="00F74ED2">
        <w:tc>
          <w:tcPr>
            <w:tcW w:w="9067" w:type="dxa"/>
          </w:tcPr>
          <w:p w:rsidR="00F74ED2" w:rsidRPr="002067F1" w:rsidRDefault="00F74ED2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ветхих жилых домах, человек</w:t>
            </w:r>
          </w:p>
        </w:tc>
        <w:tc>
          <w:tcPr>
            <w:tcW w:w="2127" w:type="dxa"/>
            <w:vAlign w:val="center"/>
          </w:tcPr>
          <w:p w:rsidR="00F74ED2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1 435</w:t>
            </w:r>
          </w:p>
        </w:tc>
        <w:tc>
          <w:tcPr>
            <w:tcW w:w="1842" w:type="dxa"/>
            <w:vAlign w:val="center"/>
          </w:tcPr>
          <w:p w:rsidR="00F74ED2" w:rsidRPr="002067F1" w:rsidRDefault="002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D2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2067F1" w:rsidRPr="002067F1" w:rsidTr="005D6ED6">
        <w:tc>
          <w:tcPr>
            <w:tcW w:w="9067" w:type="dxa"/>
            <w:tcBorders>
              <w:bottom w:val="single" w:sz="4" w:space="0" w:color="auto"/>
            </w:tcBorders>
          </w:tcPr>
          <w:p w:rsidR="00D30A77" w:rsidRPr="002067F1" w:rsidRDefault="00D30A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финансирования, млн рублей</w:t>
            </w:r>
          </w:p>
        </w:tc>
        <w:tc>
          <w:tcPr>
            <w:tcW w:w="2127" w:type="dxa"/>
            <w:vAlign w:val="center"/>
          </w:tcPr>
          <w:p w:rsidR="00D30A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8 019,2</w:t>
            </w:r>
          </w:p>
        </w:tc>
        <w:tc>
          <w:tcPr>
            <w:tcW w:w="1842" w:type="dxa"/>
            <w:vAlign w:val="center"/>
          </w:tcPr>
          <w:p w:rsidR="00D30A77" w:rsidRPr="002067F1" w:rsidRDefault="002067F1">
            <w:pPr>
              <w:jc w:val="center"/>
              <w:rPr>
                <w:rFonts w:ascii="Times New Roman" w:hAnsi="Times New Roman" w:cs="Times New Roman"/>
              </w:rPr>
            </w:pPr>
            <w:r w:rsidRPr="002067F1">
              <w:rPr>
                <w:rFonts w:ascii="Times New Roman" w:hAnsi="Times New Roman" w:cs="Times New Roman"/>
              </w:rPr>
              <w:t>6 855,4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77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22 995,1</w:t>
            </w:r>
          </w:p>
        </w:tc>
      </w:tr>
      <w:tr w:rsidR="002067F1" w:rsidRPr="002067F1" w:rsidTr="005D6ED6">
        <w:tc>
          <w:tcPr>
            <w:tcW w:w="9067" w:type="dxa"/>
            <w:tcBorders>
              <w:bottom w:val="single" w:sz="4" w:space="0" w:color="auto"/>
            </w:tcBorders>
          </w:tcPr>
          <w:p w:rsidR="00D30A77" w:rsidRPr="002067F1" w:rsidRDefault="00D30A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 (тыс. рублей)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30A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30A77" w:rsidRPr="002067F1" w:rsidRDefault="002067F1">
            <w:pPr>
              <w:jc w:val="center"/>
              <w:rPr>
                <w:rFonts w:ascii="Times New Roman" w:hAnsi="Times New Roman" w:cs="Times New Roman"/>
              </w:rPr>
            </w:pPr>
            <w:r w:rsidRPr="002067F1"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77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818,56</w:t>
            </w:r>
          </w:p>
        </w:tc>
      </w:tr>
      <w:tr w:rsidR="002067F1" w:rsidRPr="002067F1" w:rsidTr="005D6ED6">
        <w:tc>
          <w:tcPr>
            <w:tcW w:w="9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7" w:rsidRPr="002067F1" w:rsidRDefault="00D30A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физического объема инвестиций в основной капитал, в % к предыдущему году в сопоставимых ценах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77" w:rsidRPr="002067F1" w:rsidRDefault="002067F1">
            <w:pPr>
              <w:jc w:val="center"/>
              <w:rPr>
                <w:rFonts w:ascii="Times New Roman" w:hAnsi="Times New Roman" w:cs="Times New Roman"/>
              </w:rPr>
            </w:pPr>
            <w:r w:rsidRPr="002067F1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77" w:rsidRPr="002067F1" w:rsidRDefault="002067F1" w:rsidP="00ED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067F1" w:rsidRPr="002067F1" w:rsidTr="00937DF8">
        <w:tc>
          <w:tcPr>
            <w:tcW w:w="14560" w:type="dxa"/>
            <w:gridSpan w:val="4"/>
            <w:tcBorders>
              <w:top w:val="single" w:sz="4" w:space="0" w:color="auto"/>
            </w:tcBorders>
          </w:tcPr>
          <w:p w:rsidR="00D30A77" w:rsidRPr="002067F1" w:rsidRDefault="00D30A77" w:rsidP="00ED28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межрегиональных и внешнеэкономических связей</w:t>
            </w:r>
          </w:p>
        </w:tc>
      </w:tr>
      <w:tr w:rsidR="002067F1" w:rsidRPr="002067F1" w:rsidTr="00063159">
        <w:tc>
          <w:tcPr>
            <w:tcW w:w="9067" w:type="dxa"/>
          </w:tcPr>
          <w:p w:rsidR="00D30A77" w:rsidRPr="002067F1" w:rsidRDefault="00D30A77" w:rsidP="00E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межрегионального и международного уровня, ед.</w:t>
            </w:r>
          </w:p>
        </w:tc>
        <w:tc>
          <w:tcPr>
            <w:tcW w:w="2127" w:type="dxa"/>
            <w:vAlign w:val="center"/>
          </w:tcPr>
          <w:p w:rsidR="00D30A77" w:rsidRPr="002067F1" w:rsidRDefault="002067F1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6D1813" w:rsidRPr="002067F1" w:rsidRDefault="002067F1" w:rsidP="006D18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  <w:vAlign w:val="center"/>
          </w:tcPr>
          <w:p w:rsidR="00D30A77" w:rsidRPr="002067F1" w:rsidRDefault="002067F1" w:rsidP="000631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2067F1" w:rsidRPr="002067F1" w:rsidTr="00C1395B">
        <w:trPr>
          <w:trHeight w:val="361"/>
        </w:trPr>
        <w:tc>
          <w:tcPr>
            <w:tcW w:w="14560" w:type="dxa"/>
            <w:gridSpan w:val="4"/>
          </w:tcPr>
          <w:p w:rsidR="00D30A77" w:rsidRPr="002067F1" w:rsidRDefault="00D30A77" w:rsidP="00C139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Рациональное природопользование и обеспечение экологической безопасности</w:t>
            </w:r>
          </w:p>
        </w:tc>
      </w:tr>
      <w:tr w:rsidR="002067F1" w:rsidRPr="002067F1" w:rsidTr="00453874">
        <w:tc>
          <w:tcPr>
            <w:tcW w:w="9067" w:type="dxa"/>
          </w:tcPr>
          <w:p w:rsidR="00D30A77" w:rsidRPr="002067F1" w:rsidRDefault="00D30A77" w:rsidP="00ED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имеющих стационарные источники загрязнения атмосферного воздуха, ед.</w:t>
            </w:r>
          </w:p>
        </w:tc>
        <w:tc>
          <w:tcPr>
            <w:tcW w:w="2127" w:type="dxa"/>
            <w:vAlign w:val="center"/>
          </w:tcPr>
          <w:p w:rsidR="00D30A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453874" w:rsidRPr="002067F1" w:rsidRDefault="002067F1" w:rsidP="004538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24" w:type="dxa"/>
            <w:vAlign w:val="center"/>
          </w:tcPr>
          <w:p w:rsidR="00D30A77" w:rsidRPr="002067F1" w:rsidRDefault="002067F1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2067F1" w:rsidRPr="002067F1" w:rsidTr="004D43B8">
        <w:tc>
          <w:tcPr>
            <w:tcW w:w="9067" w:type="dxa"/>
          </w:tcPr>
          <w:p w:rsidR="00D30A77" w:rsidRPr="002067F1" w:rsidRDefault="00D30A77" w:rsidP="00ED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hAnsi="Times New Roman" w:cs="Times New Roman"/>
                <w:sz w:val="24"/>
                <w:szCs w:val="24"/>
              </w:rPr>
              <w:t>Выброшено в атмосферу загрязняющих веществ, отходящих от стационарных источников всего, тыс. т</w:t>
            </w:r>
          </w:p>
        </w:tc>
        <w:tc>
          <w:tcPr>
            <w:tcW w:w="2127" w:type="dxa"/>
            <w:vAlign w:val="center"/>
          </w:tcPr>
          <w:p w:rsidR="00D30A77" w:rsidRPr="002067F1" w:rsidRDefault="00D30A77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842" w:type="dxa"/>
            <w:vAlign w:val="center"/>
          </w:tcPr>
          <w:p w:rsidR="00D30A77" w:rsidRPr="002067F1" w:rsidRDefault="000911E3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24" w:type="dxa"/>
            <w:vAlign w:val="center"/>
          </w:tcPr>
          <w:p w:rsidR="00D30A77" w:rsidRPr="002067F1" w:rsidRDefault="00453874" w:rsidP="00ED28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F1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</w:tbl>
    <w:p w:rsidR="009A0FF0" w:rsidRPr="00955FD2" w:rsidRDefault="009A0FF0" w:rsidP="009A0FF0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333E9" w:rsidRPr="00955FD2" w:rsidRDefault="00D333E9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3572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363DC" w:rsidRPr="00955FD2" w:rsidRDefault="00F363DC" w:rsidP="009A0F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F363DC" w:rsidRPr="00955FD2" w:rsidSect="001C455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F363DC" w:rsidRPr="00566EA0" w:rsidRDefault="00F363DC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566EA0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lastRenderedPageBreak/>
        <w:t>Демография</w:t>
      </w:r>
    </w:p>
    <w:p w:rsidR="00F363DC" w:rsidRPr="00566EA0" w:rsidRDefault="00F363DC" w:rsidP="00D93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B85160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</w:t>
      </w:r>
      <w:r w:rsidR="00566EA0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>2022</w:t>
      </w:r>
      <w:r w:rsidR="00B85160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B85160" w:rsidRPr="00566EA0">
        <w:rPr>
          <w:rFonts w:ascii="Times New Roman" w:eastAsia="Times New Roman" w:hAnsi="Times New Roman" w:cs="Times New Roman"/>
          <w:sz w:val="24"/>
          <w:szCs w:val="26"/>
          <w:lang w:val="x-none" w:eastAsia="x-none"/>
        </w:rPr>
        <w:t xml:space="preserve"> </w:t>
      </w:r>
      <w:r w:rsidR="00B85160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>а терри</w:t>
      </w:r>
      <w:r w:rsidR="00ED2877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тории Белоярского района </w:t>
      </w:r>
      <w:r w:rsidR="00B85160" w:rsidRPr="00566EA0">
        <w:rPr>
          <w:rFonts w:ascii="Times New Roman" w:eastAsia="Times New Roman" w:hAnsi="Times New Roman" w:cs="Times New Roman"/>
          <w:sz w:val="24"/>
          <w:szCs w:val="26"/>
          <w:lang w:val="x-none" w:eastAsia="x-none"/>
        </w:rPr>
        <w:t>(</w:t>
      </w:r>
      <w:r w:rsidR="00B85160" w:rsidRPr="00566EA0">
        <w:rPr>
          <w:rFonts w:ascii="Times New Roman" w:eastAsia="Times New Roman" w:hAnsi="Times New Roman" w:cs="Times New Roman"/>
          <w:sz w:val="24"/>
          <w:szCs w:val="26"/>
          <w:lang w:eastAsia="x-none"/>
        </w:rPr>
        <w:t>по данным отдела записи актов гражданского состояния администрации Белоярского района)</w:t>
      </w:r>
      <w:r w:rsidR="007739E1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родили</w:t>
      </w:r>
      <w:r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>сь</w:t>
      </w:r>
      <w:r w:rsidR="00ED2877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6EA0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>240</w:t>
      </w:r>
      <w:r w:rsidR="00B85160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детей</w:t>
      </w:r>
      <w:r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что на                                      </w:t>
      </w:r>
      <w:r w:rsidR="00566EA0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="007739E1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новорожденных </w:t>
      </w:r>
      <w:r w:rsidR="00566EA0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меньше, чем в 2021</w:t>
      </w:r>
      <w:r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году. </w:t>
      </w:r>
      <w:r w:rsidR="00ED2877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Показатели рождаемости </w:t>
      </w:r>
      <w:r w:rsidR="00B85160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превысили показатели смертности</w:t>
      </w:r>
      <w:r w:rsidR="00566EA0"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37%</w:t>
      </w:r>
      <w:r w:rsidRPr="00566EA0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363DC" w:rsidRPr="00955FD2" w:rsidRDefault="00F363DC" w:rsidP="00D934A9">
      <w:pPr>
        <w:tabs>
          <w:tab w:val="left" w:pos="9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x-none"/>
        </w:rPr>
      </w:pPr>
    </w:p>
    <w:p w:rsidR="00F363DC" w:rsidRPr="008D269A" w:rsidRDefault="00F363DC" w:rsidP="00D934A9">
      <w:pPr>
        <w:tabs>
          <w:tab w:val="left" w:pos="9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8D269A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Промышленность</w:t>
      </w:r>
    </w:p>
    <w:p w:rsidR="00F363DC" w:rsidRPr="008D269A" w:rsidRDefault="001C1AFC" w:rsidP="00D934A9">
      <w:pPr>
        <w:tabs>
          <w:tab w:val="left" w:pos="9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Объем промышленного производства (по крупным и средним предприятиям) на территории Белоярск</w:t>
      </w:r>
      <w:r w:rsidR="004563E9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ого </w:t>
      </w:r>
      <w:r w:rsidR="008D269A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района за 2022</w:t>
      </w:r>
      <w:r w:rsidR="004563E9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 </w:t>
      </w:r>
      <w:r w:rsidR="008D269A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оценивается в размере </w:t>
      </w:r>
      <w:r w:rsidR="00BB6704">
        <w:rPr>
          <w:rFonts w:ascii="Times New Roman" w:eastAsia="Times New Roman" w:hAnsi="Times New Roman" w:cs="Times New Roman"/>
          <w:sz w:val="24"/>
          <w:szCs w:val="24"/>
          <w:lang w:eastAsia="x-none"/>
        </w:rPr>
        <w:t>60 616,5</w:t>
      </w:r>
      <w:r w:rsidR="008D269A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млн. рублей</w:t>
      </w:r>
      <w:r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, и</w:t>
      </w:r>
      <w:r w:rsidRPr="008D269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ндекс</w:t>
      </w:r>
      <w:r w:rsidR="008D269A" w:rsidRPr="008D269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промышленного производства – 133</w:t>
      </w:r>
      <w:r w:rsidR="0001353A" w:rsidRPr="008D269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%</w:t>
      </w:r>
      <w:r w:rsidR="00B25BA1" w:rsidRPr="008D269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  <w:r w:rsidR="003D244E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r w:rsidR="00F57648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8D269A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2022</w:t>
      </w:r>
      <w:r w:rsidR="00F363DC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</w:t>
      </w:r>
      <w:r w:rsidR="003D244E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д объем добычи нефти состави</w:t>
      </w:r>
      <w:r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 </w:t>
      </w:r>
      <w:r w:rsidR="008D269A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1,7</w:t>
      </w:r>
      <w:r w:rsidR="00F363DC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D244E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млн</w:t>
      </w:r>
      <w:r w:rsidR="00F363DC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A865C0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363DC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тонн, что </w:t>
      </w:r>
      <w:r w:rsidR="008D269A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в 1,3 раза превышает</w:t>
      </w:r>
      <w:r w:rsidR="009035E9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D269A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>уровень 2021</w:t>
      </w:r>
      <w:r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года.</w:t>
      </w:r>
      <w:r w:rsidR="00F363DC" w:rsidRPr="008D26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F363DC" w:rsidRPr="00955FD2" w:rsidRDefault="00F363DC" w:rsidP="00D934A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363DC" w:rsidRPr="008D269A" w:rsidRDefault="00F363DC" w:rsidP="00D934A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269A">
        <w:rPr>
          <w:rFonts w:ascii="Times New Roman" w:hAnsi="Times New Roman" w:cs="Times New Roman"/>
          <w:b/>
          <w:i/>
          <w:sz w:val="24"/>
          <w:szCs w:val="24"/>
        </w:rPr>
        <w:t>Сельское хозяйство</w:t>
      </w:r>
    </w:p>
    <w:p w:rsidR="009035E9" w:rsidRPr="008D269A" w:rsidRDefault="009035E9" w:rsidP="00BB67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поддержку и развитие агропромышленного комплекса на терр</w:t>
      </w:r>
      <w:r w:rsidR="008D269A" w:rsidRPr="008D26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Белоярского района в 2022</w:t>
      </w:r>
      <w:r w:rsidRPr="008D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бюджетов всех уровней было</w:t>
      </w:r>
      <w:r w:rsidR="008D269A" w:rsidRPr="008D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73,3 млн. рублей, в том числе 32,3</w:t>
      </w:r>
      <w:r w:rsidRPr="008D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за счет средств бюджета Белоярского района.</w:t>
      </w:r>
    </w:p>
    <w:p w:rsidR="00BB6704" w:rsidRPr="00BB6704" w:rsidRDefault="00BB6704" w:rsidP="00BB670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агропромышленного комплекса демонстрируют благоприятный прирост: за 2022 год рост производства мяса скота и птицы составил 101,6% к 2021 году, молока – 101,1% к 2021 году, в 2,7 раза по сравнению с 2021 годом увеличилось производство яиц.</w:t>
      </w:r>
    </w:p>
    <w:p w:rsidR="00D934A9" w:rsidRDefault="00D934A9" w:rsidP="00BB67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9A">
        <w:rPr>
          <w:rFonts w:ascii="Times New Roman" w:eastAsia="Calibri" w:hAnsi="Times New Roman" w:cs="Times New Roman"/>
          <w:sz w:val="24"/>
          <w:szCs w:val="24"/>
        </w:rPr>
        <w:t xml:space="preserve">Продукцию собственного производства без посредников реализуют потребителям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ООО</w:t>
      </w:r>
      <w:r w:rsidRPr="008D269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СП</w:t>
      </w:r>
      <w:r w:rsidRPr="008D269A">
        <w:rPr>
          <w:rFonts w:ascii="Times New Roman" w:eastAsia="Calibri" w:hAnsi="Times New Roman" w:cs="Times New Roman"/>
          <w:sz w:val="24"/>
          <w:szCs w:val="24"/>
        </w:rPr>
        <w:t xml:space="preserve"> «Белоярское» (мясо, мясопродукты, молоко, молочнокислая продукция, куриные яйца), </w:t>
      </w:r>
      <w:r>
        <w:rPr>
          <w:rFonts w:ascii="Times New Roman" w:eastAsia="Calibri" w:hAnsi="Times New Roman" w:cs="Times New Roman"/>
          <w:sz w:val="24"/>
          <w:szCs w:val="24"/>
        </w:rPr>
        <w:t>АО</w:t>
      </w:r>
      <w:r w:rsidRPr="008D269A">
        <w:rPr>
          <w:rFonts w:ascii="Times New Roman" w:eastAsia="Calibri" w:hAnsi="Times New Roman" w:cs="Times New Roman"/>
          <w:sz w:val="24"/>
          <w:szCs w:val="24"/>
        </w:rPr>
        <w:t xml:space="preserve"> «Казымская оленеводческая компания» (мясо оленей, мясные консервы из мяса оленей), глава крестьянского (фермерского) хозяйства Барышников Виктор Евгеньевич (куриные яйца),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УМП </w:t>
      </w:r>
      <w:r w:rsidRPr="008D269A">
        <w:rPr>
          <w:rFonts w:ascii="Times New Roman" w:eastAsia="Calibri" w:hAnsi="Times New Roman" w:cs="Times New Roman"/>
          <w:sz w:val="24"/>
          <w:szCs w:val="24"/>
        </w:rPr>
        <w:t xml:space="preserve">«Городской центр торговли» (рыбная продукция), индивидуальный предприниматель </w:t>
      </w:r>
      <w:proofErr w:type="spellStart"/>
      <w:r w:rsidRPr="008D269A">
        <w:rPr>
          <w:rFonts w:ascii="Times New Roman" w:eastAsia="Calibri" w:hAnsi="Times New Roman" w:cs="Times New Roman"/>
          <w:sz w:val="24"/>
          <w:szCs w:val="24"/>
        </w:rPr>
        <w:t>Хинчагов</w:t>
      </w:r>
      <w:proofErr w:type="spellEnd"/>
      <w:r w:rsidRPr="008D269A">
        <w:rPr>
          <w:rFonts w:ascii="Times New Roman" w:eastAsia="Calibri" w:hAnsi="Times New Roman" w:cs="Times New Roman"/>
          <w:sz w:val="24"/>
          <w:szCs w:val="24"/>
        </w:rPr>
        <w:t xml:space="preserve"> Эрнест </w:t>
      </w:r>
      <w:proofErr w:type="spellStart"/>
      <w:r w:rsidRPr="008D269A">
        <w:rPr>
          <w:rFonts w:ascii="Times New Roman" w:eastAsia="Calibri" w:hAnsi="Times New Roman" w:cs="Times New Roman"/>
          <w:sz w:val="24"/>
          <w:szCs w:val="24"/>
        </w:rPr>
        <w:t>Ергенович</w:t>
      </w:r>
      <w:proofErr w:type="spellEnd"/>
      <w:r w:rsidRPr="008D2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(мёд, чай из таёжных трав),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8D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D269A">
        <w:rPr>
          <w:rFonts w:ascii="Times New Roman" w:eastAsia="Times New Roman" w:hAnsi="Times New Roman" w:cs="Times New Roman"/>
          <w:sz w:val="24"/>
          <w:szCs w:val="24"/>
          <w:lang w:eastAsia="ru-RU"/>
        </w:rPr>
        <w:t>Ёхланг</w:t>
      </w:r>
      <w:proofErr w:type="spellEnd"/>
      <w:r w:rsidRPr="008D269A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ям» (пищевая рыбная продукция).</w:t>
      </w:r>
    </w:p>
    <w:p w:rsidR="00D934A9" w:rsidRPr="008D269A" w:rsidRDefault="00D934A9" w:rsidP="00D934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Белоярского района сохраняется и развивается традиционная отрасль коренных народов Севера – северное оленеводство. Поголовье северных оленей в хозяйствах всех форм собственности на 1 января 2023 года составляет 16,0 тыс. голов (1 % от всего поголовья северных оленей на территории Российской Федерации).</w:t>
      </w:r>
    </w:p>
    <w:p w:rsidR="00E66851" w:rsidRPr="00955FD2" w:rsidRDefault="00E66851" w:rsidP="00D934A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5BA1" w:rsidRPr="006C2F95" w:rsidRDefault="00F363DC" w:rsidP="00D934A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F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F95">
        <w:rPr>
          <w:rFonts w:ascii="Times New Roman" w:hAnsi="Times New Roman" w:cs="Times New Roman"/>
          <w:b/>
          <w:i/>
          <w:sz w:val="24"/>
          <w:szCs w:val="24"/>
        </w:rPr>
        <w:t>Малый бизнес</w:t>
      </w:r>
    </w:p>
    <w:p w:rsidR="00D934A9" w:rsidRPr="00D934A9" w:rsidRDefault="00D934A9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</w:t>
      </w:r>
      <w:r w:rsidR="0082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7 мая 2018 года </w:t>
      </w: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204 «О национальных целях и стратегических задачах развития Российской Федерации на период до 2024 года» на территории Белоярского района, как и в Ханты-Мансийском автономном округе – </w:t>
      </w:r>
      <w:r w:rsidRPr="00D934A9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Югре, реализуется национальный проект «Малое и среднее предпринимательство и поддержка индивидуальной предпринимательской инициативы». Проект осуществляется в рамках муниципальной программы Белоярского района «Развитие малого и среднего предпринимательства и туризма».</w:t>
      </w:r>
    </w:p>
    <w:p w:rsidR="00D934A9" w:rsidRPr="00D934A9" w:rsidRDefault="00D934A9" w:rsidP="00D934A9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указанной муниципальной программы в 2022 году объем финансовой поддержки малого бизнеса и туризма за счет всех источников финансирования составил</w:t>
      </w:r>
      <w:r w:rsidRPr="00D934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934A9">
        <w:rPr>
          <w:rFonts w:ascii="Times New Roman" w:eastAsia="Times New Roman" w:hAnsi="Times New Roman" w:cs="Times New Roman"/>
          <w:sz w:val="24"/>
          <w:szCs w:val="24"/>
          <w:lang w:eastAsia="ru-RU"/>
        </w:rPr>
        <w:t>15,0 млн. рублей, в том числе за счет средств бюджета Белоярского района – 12,1 млн. рублей, заключено 25 соглашений о предоставлении субсидий. Реализация мероприятий по развитию малого бизнеса позволила сохранить 275 рабочих мест, создать 30 рабочих мест.</w:t>
      </w:r>
      <w:r w:rsidRPr="00D934A9">
        <w:rPr>
          <w:rFonts w:ascii="Times New Roman" w:eastAsia="Calibri" w:hAnsi="Times New Roman" w:cs="Times New Roman"/>
          <w:sz w:val="24"/>
          <w:szCs w:val="24"/>
        </w:rPr>
        <w:t xml:space="preserve"> Информационно - консультационная поддержка оказана 275 субъектам, включая индивидуальных предпринимателей, физических лиц и самозанятых граждан.</w:t>
      </w:r>
    </w:p>
    <w:p w:rsidR="00D934A9" w:rsidRPr="00D934A9" w:rsidRDefault="00D934A9" w:rsidP="00D93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93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территории Белоярского района в 2022 году на долю занятых</w:t>
      </w:r>
      <w:r w:rsidR="0082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малом бизнесе приходится 24,8</w:t>
      </w:r>
      <w:r w:rsidRPr="00D934A9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общей численности всех работающих.</w:t>
      </w:r>
      <w:r w:rsidRPr="00D934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9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самозанятых на конец 2022 года зарегистрированы 1</w:t>
      </w:r>
      <w:r w:rsidR="00BB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4A9">
        <w:rPr>
          <w:rFonts w:ascii="Times New Roman" w:eastAsia="Times New Roman" w:hAnsi="Times New Roman" w:cs="Times New Roman"/>
          <w:sz w:val="24"/>
          <w:szCs w:val="24"/>
          <w:lang w:eastAsia="ru-RU"/>
        </w:rPr>
        <w:t>046 человек плательщиков налога на профессиональный доход, что в 1,6 раз больше, чем по состоянию на конец 2021 года (669 человек).</w:t>
      </w:r>
    </w:p>
    <w:p w:rsidR="00D934A9" w:rsidRDefault="006C2F95" w:rsidP="00D934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6798D"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алый бизнес </w:t>
      </w:r>
      <w:r w:rsidR="00D934A9"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развиваться, реализуются новые инвестиционные проекты. За 2022 год открыты 2 салона красоты, 4 объекта общепита, медицинский центр, ортопедический салон и </w:t>
      </w:r>
      <w:proofErr w:type="spellStart"/>
      <w:r w:rsidR="00D934A9"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пропановая</w:t>
      </w:r>
      <w:proofErr w:type="spellEnd"/>
      <w:r w:rsidR="00D934A9"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газозаправочная станция</w:t>
      </w:r>
      <w:r w:rsidR="00D934A9"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Городской центр торговли запустил новую хлебопекарню с мини-кафе.</w:t>
      </w:r>
    </w:p>
    <w:p w:rsidR="006C2F95" w:rsidRPr="006C2F95" w:rsidRDefault="006C2F95" w:rsidP="006C2F9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</w:t>
      </w: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</w:t>
      </w: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«Ресурсный центр креативных и этнографических кластеров» зарегистрирована в качестве туроператора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внутреннему туризму. Разработан</w:t>
      </w: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двухдневный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«Эксклюзивный Белоярский», который реализуется через государственную услугу в сфере туризма «социальный сертификат» для школьников 5-9 классов. В 2022 году воспользовались сертификатами 384 школьника Белоярского района.</w:t>
      </w:r>
    </w:p>
    <w:p w:rsidR="006C2F95" w:rsidRPr="006C2F95" w:rsidRDefault="006C2F95" w:rsidP="006C2F9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туристический поток в Белоярском районе в 2022 году составил 29 368 человек, что на 19% больше, чем за 2021 год. </w:t>
      </w:r>
    </w:p>
    <w:p w:rsidR="006C2F95" w:rsidRDefault="006C2F95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934A9" w:rsidRPr="006C2F95" w:rsidRDefault="006C2F95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2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Потребительский рынок</w:t>
      </w:r>
    </w:p>
    <w:p w:rsidR="00DB38C2" w:rsidRPr="006C2F95" w:rsidRDefault="00DB38C2" w:rsidP="006C2F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торговые сети стали одним из самых быстрорастущих и успешных сегментов экономики. На территории Белоярского района работают продовольственные ритейлеры федерального масштаба, магазины торговых сетей «Магнит», «Пятерочка», «Красное &amp; Белое», «Детский мир», «ДНС», «</w:t>
      </w:r>
      <w:proofErr w:type="spellStart"/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Бургер</w:t>
      </w:r>
      <w:proofErr w:type="spellEnd"/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Кинг», «</w:t>
      </w:r>
      <w:proofErr w:type="spellStart"/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Золла</w:t>
      </w:r>
      <w:proofErr w:type="spellEnd"/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«Золотой 585», «Фикс Прайс», «Светофор».</w:t>
      </w:r>
      <w:r w:rsidRPr="006C2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Функционируют пункты выдачи интернет-магазинов «Сима-</w:t>
      </w:r>
      <w:proofErr w:type="spellStart"/>
      <w:r w:rsidRPr="006C2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Ленд</w:t>
      </w:r>
      <w:proofErr w:type="spellEnd"/>
      <w:r w:rsidRPr="006C2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«Озон», «</w:t>
      </w:r>
      <w:proofErr w:type="spellStart"/>
      <w:r w:rsidRPr="006C2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Вайлдбериз</w:t>
      </w:r>
      <w:proofErr w:type="spellEnd"/>
      <w:r w:rsidRPr="006C2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«Клюква».</w:t>
      </w:r>
      <w:r w:rsidR="006C2F95" w:rsidRPr="006C2F95">
        <w:t xml:space="preserve"> </w:t>
      </w:r>
      <w:r w:rsidR="006C2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6C2F95" w:rsidRPr="006C2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Белоярском районе действует </w:t>
      </w:r>
      <w:r w:rsidR="006C2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ТРЦ</w:t>
      </w:r>
      <w:r w:rsidR="006C2F95" w:rsidRPr="006C2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«Оазис Плаза», на территории которого находятся магазины различных брендов. </w:t>
      </w:r>
    </w:p>
    <w:p w:rsidR="00DB38C2" w:rsidRPr="006C2F95" w:rsidRDefault="006C2F95" w:rsidP="006C2F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торговыми площадями составляет 980 кв.м. на 1000 жителей, что в 1,9 раз превышает уровень норматива минимальной обеспеченности населения (509 кв. метров).</w:t>
      </w:r>
    </w:p>
    <w:p w:rsidR="00F363DC" w:rsidRPr="00955FD2" w:rsidRDefault="00F363DC" w:rsidP="00D934A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5FD2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F363DC" w:rsidRPr="00955FD2" w:rsidRDefault="00F363DC" w:rsidP="00D934A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FD2">
        <w:rPr>
          <w:rFonts w:ascii="Times New Roman" w:hAnsi="Times New Roman" w:cs="Times New Roman"/>
          <w:b/>
          <w:i/>
          <w:sz w:val="24"/>
          <w:szCs w:val="24"/>
        </w:rPr>
        <w:t>Инвестиции</w:t>
      </w:r>
    </w:p>
    <w:p w:rsidR="004E521B" w:rsidRPr="00955FD2" w:rsidRDefault="004E521B" w:rsidP="00D934A9">
      <w:pPr>
        <w:tabs>
          <w:tab w:val="left" w:pos="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общий объем инвестиций в развитие Белоярского района составил 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6,855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руб. Объем инвестиций на каждого жителя района составил </w:t>
      </w:r>
      <w:r w:rsidR="001A5FF1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5FF1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9,1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955FD2" w:rsidRPr="00955FD2" w:rsidRDefault="00955FD2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ООО «Газпром трансгаз Югорск» продолжается  строительство бассейна в п. Верхнеказымский. Ввод объекта запланирован в 2023 году.</w:t>
      </w:r>
    </w:p>
    <w:p w:rsidR="00955FD2" w:rsidRPr="00955FD2" w:rsidRDefault="00955FD2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 рамках муниципальной программы Белоярского района «Развитие транспортной системы Белоярского района» завершены работы по реконструкции автомобильной дороги в 6 микрорайоне г. Белоярский. </w:t>
      </w:r>
    </w:p>
    <w:p w:rsidR="00955FD2" w:rsidRPr="00955FD2" w:rsidRDefault="00955FD2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выполнен капитальный ремонт участка км 615 - км 618 автомобильной дороги «Югорск-Советский-Верхний Казым-Надым (до границы ХМАО-Югры)» 1 этап. Заключен контракт на выполнение 2 этапа капитального ремонта на участке с 618-го по 626-й км со сроком выполнения – 3 квартал 2024 года. </w:t>
      </w:r>
    </w:p>
    <w:p w:rsidR="00955FD2" w:rsidRDefault="00955FD2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государственной программы Ханты-Мансийского автономного округа – Югры «Экологическая безопасность» в сентябре 2022 года заключено концессионное соглашение на строительство Белоярского межпоселенческого полигона с ООО «Вертикаль» (г. Москва). </w:t>
      </w:r>
    </w:p>
    <w:p w:rsidR="00955FD2" w:rsidRPr="00955FD2" w:rsidRDefault="00955FD2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стабильной благополучной эпизоотической обстановки в Белоярском районе и защиты населения от болезней, общих для человека и животных, в отчётном году реализован проект по обустройству существующего приюта для содержания животных без владельцев. Построены 85 новых вольеров для содержания собак, площадка для 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выгула собак, приобретены мобильные здания для ветеринарной амбулатории, изолятора, административного здания.</w:t>
      </w:r>
    </w:p>
    <w:p w:rsidR="00955FD2" w:rsidRPr="00955FD2" w:rsidRDefault="00955FD2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Белоярского района «Развитие жилищно-коммунального комплекса и повышение энергетической эффективности» заключен муниципальный контракт на выполнение работ по строительству канализационных очистных сооружений в с. Казым.</w:t>
      </w:r>
      <w:r w:rsidRPr="00955F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объекта запланирован в 3 квартале 2023 года.</w:t>
      </w:r>
      <w:r w:rsidRPr="00955F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363DC" w:rsidRPr="00955FD2" w:rsidRDefault="00F363DC" w:rsidP="00D934A9">
      <w:pPr>
        <w:tabs>
          <w:tab w:val="center" w:pos="4879"/>
        </w:tabs>
        <w:spacing w:after="0" w:line="276" w:lineRule="auto"/>
        <w:ind w:left="576" w:firstLine="72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F363DC" w:rsidRPr="00955FD2" w:rsidRDefault="00F363DC" w:rsidP="00D934A9">
      <w:pPr>
        <w:tabs>
          <w:tab w:val="center" w:pos="4879"/>
        </w:tabs>
        <w:spacing w:after="0" w:line="276" w:lineRule="auto"/>
        <w:ind w:left="576" w:firstLine="133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ru-RU"/>
        </w:rPr>
      </w:pPr>
      <w:r w:rsidRPr="00955F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Жилищная политика</w:t>
      </w:r>
    </w:p>
    <w:p w:rsidR="00955FD2" w:rsidRPr="00955FD2" w:rsidRDefault="00955FD2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2022 год на территории Белоярского района построено и введено 9 718 кв.м. жилья (5 многоквартирных домов и 21 индивидуальный жилой дом). 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Белоярского района за 2022 года снесены 8 многоквартирных домов общей площадью 9,2 тыс. кв.м.</w:t>
      </w:r>
      <w:r w:rsidRPr="00955F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</w:t>
      </w:r>
      <w:r w:rsidRPr="00955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2023 года площадь жилищного фонда составила 687,0 тыс. кв. м., на одного жителя приходится 24,0 кв. м жилья. </w:t>
      </w:r>
    </w:p>
    <w:p w:rsidR="00955FD2" w:rsidRPr="00955FD2" w:rsidRDefault="00955FD2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Белоярского района «Развитие жилищно-коммунального комплекса и повышение энергетической эффективности» </w:t>
      </w:r>
      <w:r w:rsidRPr="00955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2022 году капитальный ремонт проведен на 4 многоквартирных домах общей площадью 12,6 тыс. кв.м. на сумму 51,1 млн. руб. </w:t>
      </w:r>
    </w:p>
    <w:p w:rsidR="00955FD2" w:rsidRPr="00955FD2" w:rsidRDefault="00955FD2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2022 год в Белоярском районе 196 семей улучшили жилищные условия. В   2022 году при плане расселения жилья, признанного аварийным до 1 января 2017 года, в 7531 кв.м было приобретено жилья общей площадью 6 383 кв.м, расселены 4 782,3 кв.м аварийного жилья, переселены 49 семей. </w:t>
      </w:r>
    </w:p>
    <w:p w:rsidR="00955FD2" w:rsidRPr="00955FD2" w:rsidRDefault="00955FD2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Льготным категориям граждан на безвозмездной основе выделено 5 земельных участков, в том числе 4 участка - многодетным семьям.  </w:t>
      </w:r>
    </w:p>
    <w:p w:rsidR="00542615" w:rsidRPr="00955FD2" w:rsidRDefault="00F363DC" w:rsidP="00D934A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5FD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363DC" w:rsidRPr="00725ABB" w:rsidRDefault="00F363DC" w:rsidP="00D934A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ABB">
        <w:rPr>
          <w:rFonts w:ascii="Times New Roman" w:hAnsi="Times New Roman" w:cs="Times New Roman"/>
          <w:b/>
          <w:i/>
          <w:sz w:val="24"/>
          <w:szCs w:val="24"/>
        </w:rPr>
        <w:t>Развитие социальной сферы</w:t>
      </w:r>
    </w:p>
    <w:p w:rsidR="00F363DC" w:rsidRPr="00725ABB" w:rsidRDefault="00F6186A" w:rsidP="00D934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ABB">
        <w:rPr>
          <w:rFonts w:ascii="Times New Roman" w:eastAsia="Calibri" w:hAnsi="Times New Roman" w:cs="Times New Roman"/>
          <w:sz w:val="24"/>
          <w:szCs w:val="24"/>
        </w:rPr>
        <w:t>В Белоярском районе</w:t>
      </w:r>
      <w:r w:rsidR="00725ABB" w:rsidRPr="00725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65" w:rsidRPr="00725ABB">
        <w:rPr>
          <w:rFonts w:ascii="Times New Roman" w:eastAsia="Calibri" w:hAnsi="Times New Roman" w:cs="Times New Roman"/>
          <w:sz w:val="24"/>
          <w:szCs w:val="24"/>
        </w:rPr>
        <w:t xml:space="preserve">были достигнуты </w:t>
      </w:r>
      <w:r w:rsidRPr="00725ABB">
        <w:rPr>
          <w:rFonts w:ascii="Times New Roman" w:eastAsia="Calibri" w:hAnsi="Times New Roman" w:cs="Times New Roman"/>
          <w:sz w:val="24"/>
          <w:szCs w:val="24"/>
        </w:rPr>
        <w:t xml:space="preserve">высокие показатели развития </w:t>
      </w:r>
      <w:r w:rsidR="00F363DC" w:rsidRPr="00725ABB">
        <w:rPr>
          <w:rFonts w:ascii="Times New Roman" w:eastAsia="Calibri" w:hAnsi="Times New Roman" w:cs="Times New Roman"/>
          <w:sz w:val="24"/>
          <w:szCs w:val="24"/>
        </w:rPr>
        <w:t xml:space="preserve">социальной сферы. </w:t>
      </w:r>
    </w:p>
    <w:p w:rsidR="00725ABB" w:rsidRPr="00725ABB" w:rsidRDefault="00725ABB" w:rsidP="00725A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2022 года на базе муниципального автономного общеобразовательного учреждения Белоярского района «Средняя общеобразовательная школа с. Казым» состоялось открытие группы кратковременного пребывания дошкольников в деревне Нумто (в рамках внедрения образовательного проекта «Стойбищная школа – сад»). Для обеспечения образовательного процесса приобретены лицензии на мобильное электронное образование и ноутбуки. Продолжают действовать группы в деревнях Тугияны и Пашторы.</w:t>
      </w:r>
    </w:p>
    <w:p w:rsidR="00725ABB" w:rsidRPr="00725ABB" w:rsidRDefault="00725ABB" w:rsidP="00725A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2022 года на базе муниципального автономного общеобразовательного учреждения Белоярского района «Средняя общеобразовательная школа п. Сосновка» открыт четвертый в районе Центр цифрового и гуманитарного профилей «Точка роста». Объект входит в «Карту развития Югры» – региональный компонент Народной программы «Единой России». Благодаря Центрам школьники получили возможность изучать информатику, физику и химию по новым технологиям, пополнять «багаж знаний» по робототехнике, трехмерному моделированию, проявлять себя в проектной деятельности. </w:t>
      </w:r>
    </w:p>
    <w:p w:rsidR="00725ABB" w:rsidRPr="00725ABB" w:rsidRDefault="00725ABB" w:rsidP="00725A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5ABB">
        <w:rPr>
          <w:rFonts w:ascii="Times New Roman" w:eastAsia="Calibri" w:hAnsi="Times New Roman" w:cs="Times New Roman"/>
          <w:bCs/>
          <w:sz w:val="24"/>
          <w:szCs w:val="24"/>
        </w:rPr>
        <w:t>В 2022 году проведен онлайн-опрос населения о качестве реализуемых образовательных программ, оказываемых подведомственными образовательными учреждениями. В опросе принял участие 2 481 человек. Удовлетворенность качеством предоставляемых услуг составила: дошкольное образование – 96,5%, общее образование – 91,0%, дополнительное образование – 99,0%.</w:t>
      </w:r>
    </w:p>
    <w:p w:rsidR="00057707" w:rsidRPr="00725ABB" w:rsidRDefault="00057707" w:rsidP="00D934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ABB">
        <w:rPr>
          <w:rFonts w:ascii="Times New Roman" w:eastAsia="Calibri" w:hAnsi="Times New Roman" w:cs="Times New Roman"/>
          <w:sz w:val="24"/>
          <w:szCs w:val="24"/>
        </w:rPr>
        <w:t>На территории Белоярского района функционируют 15</w:t>
      </w:r>
      <w:r w:rsidR="00725ABB" w:rsidRPr="00725ABB">
        <w:rPr>
          <w:rFonts w:ascii="Times New Roman" w:eastAsia="Calibri" w:hAnsi="Times New Roman" w:cs="Times New Roman"/>
          <w:sz w:val="24"/>
          <w:szCs w:val="24"/>
        </w:rPr>
        <w:t>9</w:t>
      </w:r>
      <w:r w:rsidRPr="00725ABB">
        <w:rPr>
          <w:rFonts w:ascii="Times New Roman" w:eastAsia="Calibri" w:hAnsi="Times New Roman" w:cs="Times New Roman"/>
          <w:sz w:val="24"/>
          <w:szCs w:val="24"/>
        </w:rPr>
        <w:t xml:space="preserve"> спортивных объектов единовременной пропускной способностью 3 </w:t>
      </w:r>
      <w:r w:rsidR="00725ABB" w:rsidRPr="00725ABB">
        <w:rPr>
          <w:rFonts w:ascii="Times New Roman" w:eastAsia="Calibri" w:hAnsi="Times New Roman" w:cs="Times New Roman"/>
          <w:sz w:val="24"/>
          <w:szCs w:val="24"/>
        </w:rPr>
        <w:t>495</w:t>
      </w:r>
      <w:r w:rsidRPr="00725ABB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725ABB" w:rsidRPr="00725ABB" w:rsidRDefault="00725ABB" w:rsidP="00D93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Доля граждан, систематически занимающихся физической культурой и спортом, по состоянию на 1 </w:t>
      </w:r>
      <w:r w:rsidR="0096648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 года составляет 63,1</w:t>
      </w:r>
      <w:bookmarkStart w:id="0" w:name="_GoBack"/>
      <w:bookmarkEnd w:id="0"/>
      <w:r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общей численности населения 3 – 79 лет. Это один из лучших показателей в автономном округе как по численности занимающихся, так и по темпу прироста людей, вовлеченных в занятия спортом. </w:t>
      </w:r>
    </w:p>
    <w:p w:rsidR="00733D04" w:rsidRPr="00725ABB" w:rsidRDefault="00725ABB" w:rsidP="00D93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733D04"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</w:t>
      </w:r>
      <w:r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района проведено 160</w:t>
      </w:r>
      <w:r w:rsidR="00733D04"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мероприятий, в которых приняли участие более 12</w:t>
      </w:r>
      <w:r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733D04"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ч</w:t>
      </w:r>
      <w:r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еловек, присутствовали более 17</w:t>
      </w:r>
      <w:r w:rsidR="00733D04"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зрителей.</w:t>
      </w:r>
    </w:p>
    <w:p w:rsidR="00725ABB" w:rsidRPr="00725ABB" w:rsidRDefault="00725ABB" w:rsidP="00725AB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более 400 спортсменов Белоярского района приняли участие в 85 выездных спортивных мероприятиях различного уровня в 17 видах спорта. Спортсмены Белоярского района завоевали 300 медалей (127 золотых, 96 серебряных и 77 бронзовых медалей), что значительно выше показателей 2021 года (103 медали).</w:t>
      </w:r>
    </w:p>
    <w:p w:rsidR="00725ABB" w:rsidRPr="00725ABB" w:rsidRDefault="00725ABB" w:rsidP="00725AB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учреждения культуры приняли участие в 205 конкурсах различных уровней и завоевали 599 наград 1,2,3 степеней (2021 год – 473 награды) и         8 Гран-При (2021 год – 3 Гран-При).</w:t>
      </w:r>
    </w:p>
    <w:p w:rsidR="00F363DC" w:rsidRPr="00955FD2" w:rsidRDefault="00F363DC" w:rsidP="00D93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F363DC" w:rsidRPr="004B1131" w:rsidRDefault="00F363DC" w:rsidP="00D93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11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жизни</w:t>
      </w:r>
    </w:p>
    <w:p w:rsidR="00491A2C" w:rsidRPr="00955FD2" w:rsidRDefault="00491A2C" w:rsidP="00D934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Среднедушевые денежные доходы населения Белоярского района за 20</w:t>
      </w:r>
      <w:r w:rsidR="005D6ED6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предварительно составили 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63 322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увеличившись на 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9,7</w:t>
      </w:r>
      <w:r w:rsidR="005D6ED6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уровню 20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91A2C" w:rsidRPr="004B1131" w:rsidRDefault="00491A2C" w:rsidP="00D934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статью денежных доходов населения составляет заработная плата работающего населения. Среднемесячная заработная плата одного работника по крупным и средним предприятиям за 20</w:t>
      </w:r>
      <w:r w:rsidR="004E521B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сложилась в размере 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121 713,4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увеличившись на 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3644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955FD2"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уровню </w:t>
      </w:r>
      <w:r w:rsidRPr="004B113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5FD2" w:rsidRPr="004B113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B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F363DC" w:rsidRPr="004B1131" w:rsidRDefault="00924485" w:rsidP="00D934A9">
      <w:pPr>
        <w:pStyle w:val="a4"/>
        <w:tabs>
          <w:tab w:val="left" w:pos="720"/>
        </w:tabs>
        <w:spacing w:after="0" w:line="276" w:lineRule="auto"/>
        <w:ind w:left="0" w:firstLine="720"/>
        <w:jc w:val="center"/>
        <w:rPr>
          <w:sz w:val="24"/>
          <w:szCs w:val="24"/>
        </w:rPr>
      </w:pPr>
      <w:r w:rsidRPr="004B1131">
        <w:rPr>
          <w:sz w:val="24"/>
          <w:szCs w:val="24"/>
        </w:rPr>
        <w:t>Динамика показателей заработной платы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1817"/>
        <w:gridCol w:w="2084"/>
        <w:gridCol w:w="2336"/>
      </w:tblGrid>
      <w:tr w:rsidR="004B1131" w:rsidRPr="004B1131" w:rsidTr="00311B02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3DC" w:rsidRPr="004B1131" w:rsidRDefault="00F363DC" w:rsidP="00D934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DC" w:rsidRPr="004B1131" w:rsidRDefault="004B1131" w:rsidP="00D934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363DC"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3DC" w:rsidRPr="004B1131" w:rsidRDefault="004B1131" w:rsidP="00D934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363DC"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3DC" w:rsidRPr="004B1131" w:rsidRDefault="004B1131" w:rsidP="00D934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показателя 2022 г. к 2021</w:t>
            </w:r>
            <w:r w:rsidR="00F363DC"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363DC"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</w:t>
            </w:r>
            <w:proofErr w:type="gramEnd"/>
            <w:r w:rsidR="00F363DC"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4B1131" w:rsidRPr="004B1131" w:rsidTr="007D23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85" w:rsidRPr="004B1131" w:rsidRDefault="00924485" w:rsidP="00D934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485" w:rsidRPr="004B1131" w:rsidRDefault="004B1131" w:rsidP="00D934A9">
            <w:pPr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B11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151 687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485" w:rsidRPr="004B1131" w:rsidRDefault="004B1131" w:rsidP="00D934A9">
            <w:pPr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B11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186 881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485" w:rsidRPr="004B1131" w:rsidRDefault="004B1131" w:rsidP="00D934A9">
            <w:pPr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B11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123,2</w:t>
            </w:r>
          </w:p>
        </w:tc>
      </w:tr>
      <w:tr w:rsidR="004B1131" w:rsidRPr="004B1131" w:rsidTr="007D23D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485" w:rsidRPr="004B1131" w:rsidRDefault="00924485" w:rsidP="00D934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485" w:rsidRPr="004B1131" w:rsidRDefault="004B1131" w:rsidP="00D934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485" w:rsidRPr="004B1131" w:rsidRDefault="004B1131" w:rsidP="00D934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485" w:rsidRPr="004B1131" w:rsidRDefault="004B1131" w:rsidP="00D934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4B1131" w:rsidRPr="004B1131" w:rsidTr="007D23D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485" w:rsidRPr="004B1131" w:rsidRDefault="00924485" w:rsidP="00D934A9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485" w:rsidRPr="004B1131" w:rsidRDefault="004B1131" w:rsidP="00D934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73 439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485" w:rsidRPr="004B1131" w:rsidRDefault="004B1131" w:rsidP="00D934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82 204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485" w:rsidRPr="004B1131" w:rsidRDefault="004B1131" w:rsidP="00D934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</w:tbl>
    <w:p w:rsidR="00F363DC" w:rsidRPr="00955FD2" w:rsidRDefault="00F363DC" w:rsidP="00D934A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3E97" w:rsidRPr="004B1131" w:rsidRDefault="004E3E97" w:rsidP="00D93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</w:t>
      </w:r>
      <w:r w:rsidR="004B1131" w:rsidRPr="004B1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нность безработных на конец 2022</w:t>
      </w:r>
      <w:r w:rsidRPr="004B1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составила </w:t>
      </w:r>
      <w:r w:rsidR="004B1131" w:rsidRPr="004B1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</w:t>
      </w:r>
      <w:r w:rsidRPr="004B1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</w:t>
      </w:r>
      <w:r w:rsidR="00924485" w:rsidRPr="004B1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B1131" w:rsidRPr="004B1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ровень безработицы составил 0,44</w:t>
      </w:r>
      <w:r w:rsidRPr="004B1131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численности экономически активного населения.</w:t>
      </w:r>
    </w:p>
    <w:p w:rsidR="00915243" w:rsidRPr="00955FD2" w:rsidRDefault="00915243" w:rsidP="00D93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F363DC" w:rsidRPr="00955FD2" w:rsidRDefault="00F363DC" w:rsidP="00D93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5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Финансы</w:t>
      </w:r>
    </w:p>
    <w:p w:rsidR="008F3644" w:rsidRPr="00955FD2" w:rsidRDefault="008F3644" w:rsidP="00D934A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FD2">
        <w:rPr>
          <w:rFonts w:ascii="Times New Roman" w:hAnsi="Times New Roman" w:cs="Times New Roman"/>
          <w:bCs/>
          <w:sz w:val="24"/>
          <w:szCs w:val="24"/>
        </w:rPr>
        <w:t>Исполнение бюджета Белоярского района за 202</w:t>
      </w:r>
      <w:r w:rsidR="00955FD2" w:rsidRPr="00955FD2">
        <w:rPr>
          <w:rFonts w:ascii="Times New Roman" w:hAnsi="Times New Roman" w:cs="Times New Roman"/>
          <w:bCs/>
          <w:sz w:val="24"/>
          <w:szCs w:val="24"/>
        </w:rPr>
        <w:t>2</w:t>
      </w:r>
      <w:r w:rsidRPr="00955FD2">
        <w:rPr>
          <w:rFonts w:ascii="Times New Roman" w:hAnsi="Times New Roman" w:cs="Times New Roman"/>
          <w:bCs/>
          <w:sz w:val="24"/>
          <w:szCs w:val="24"/>
        </w:rPr>
        <w:t xml:space="preserve"> год по доходам составляет                                    </w:t>
      </w:r>
      <w:r w:rsidR="00955FD2" w:rsidRPr="00955FD2">
        <w:rPr>
          <w:rFonts w:ascii="Times New Roman" w:hAnsi="Times New Roman" w:cs="Times New Roman"/>
          <w:bCs/>
          <w:sz w:val="24"/>
          <w:szCs w:val="24"/>
        </w:rPr>
        <w:t>4 465 099</w:t>
      </w:r>
      <w:r w:rsidRPr="00955FD2">
        <w:rPr>
          <w:rFonts w:ascii="Times New Roman" w:hAnsi="Times New Roman" w:cs="Times New Roman"/>
          <w:bCs/>
          <w:sz w:val="24"/>
          <w:szCs w:val="24"/>
        </w:rPr>
        <w:t xml:space="preserve"> тыс. руб., по расходам </w:t>
      </w:r>
      <w:r w:rsidR="00955FD2" w:rsidRPr="00955FD2">
        <w:rPr>
          <w:rFonts w:ascii="Times New Roman" w:hAnsi="Times New Roman" w:cs="Times New Roman"/>
          <w:bCs/>
          <w:sz w:val="24"/>
          <w:szCs w:val="24"/>
        </w:rPr>
        <w:t>4 506 432</w:t>
      </w:r>
      <w:r w:rsidRPr="00955FD2">
        <w:rPr>
          <w:rFonts w:ascii="Times New Roman" w:hAnsi="Times New Roman" w:cs="Times New Roman"/>
          <w:bCs/>
          <w:sz w:val="24"/>
          <w:szCs w:val="24"/>
        </w:rPr>
        <w:t xml:space="preserve"> тыс. руб., с </w:t>
      </w:r>
      <w:r w:rsidR="00955FD2" w:rsidRPr="00955FD2">
        <w:rPr>
          <w:rFonts w:ascii="Times New Roman" w:hAnsi="Times New Roman" w:cs="Times New Roman"/>
          <w:bCs/>
          <w:sz w:val="24"/>
          <w:szCs w:val="24"/>
        </w:rPr>
        <w:t>дефицитом</w:t>
      </w:r>
      <w:r w:rsidRPr="00955FD2">
        <w:rPr>
          <w:rFonts w:ascii="Times New Roman" w:hAnsi="Times New Roman" w:cs="Times New Roman"/>
          <w:bCs/>
          <w:sz w:val="24"/>
          <w:szCs w:val="24"/>
        </w:rPr>
        <w:t xml:space="preserve"> бюджета в сумме </w:t>
      </w:r>
      <w:r w:rsidR="00955FD2" w:rsidRPr="00955FD2">
        <w:rPr>
          <w:rFonts w:ascii="Times New Roman" w:hAnsi="Times New Roman" w:cs="Times New Roman"/>
          <w:bCs/>
          <w:sz w:val="24"/>
          <w:szCs w:val="24"/>
        </w:rPr>
        <w:t>41 333</w:t>
      </w:r>
      <w:r w:rsidRPr="00955FD2">
        <w:rPr>
          <w:rFonts w:ascii="Times New Roman" w:hAnsi="Times New Roman" w:cs="Times New Roman"/>
          <w:bCs/>
          <w:sz w:val="24"/>
          <w:szCs w:val="24"/>
        </w:rPr>
        <w:t xml:space="preserve"> тыс. руб.  </w:t>
      </w:r>
    </w:p>
    <w:p w:rsidR="00955FD2" w:rsidRPr="00955FD2" w:rsidRDefault="00955FD2" w:rsidP="00D934A9">
      <w:pPr>
        <w:pStyle w:val="a7"/>
        <w:widowControl w:val="0"/>
        <w:spacing w:after="0" w:line="276" w:lineRule="auto"/>
        <w:ind w:firstLine="709"/>
        <w:jc w:val="both"/>
      </w:pPr>
      <w:r w:rsidRPr="00955FD2">
        <w:rPr>
          <w:bCs/>
        </w:rPr>
        <w:t xml:space="preserve">Бюджет района традиционно социально ориентирован. На долю расходов социальной сферы за 2022 год приходится 50 % от общего объема расходов, или 2 246 053 тыс. руб.  </w:t>
      </w:r>
      <w:r w:rsidRPr="00955FD2">
        <w:t xml:space="preserve">В целом, исполнение бюджета за текущий финансовый год характеризуется </w:t>
      </w:r>
      <w:r w:rsidRPr="00955FD2">
        <w:rPr>
          <w:lang w:eastAsia="zh-CN"/>
        </w:rPr>
        <w:t>относительной стабильностью. Процент исполнения по доходам на уровне 2022 года, по расходам превышает уровень прошлого года. Своевременно проведенный анализ доходной и расходной частей бюджета и проведение оптимизационных мероприятий позволили избежать кассовых разрывов, обеспечить бесперебойную текущую деятельность бюджетной сферы и </w:t>
      </w:r>
      <w:r w:rsidRPr="00955FD2">
        <w:t>исполнением всех принятых бюджетных обязательств.</w:t>
      </w:r>
    </w:p>
    <w:p w:rsidR="00F363DC" w:rsidRPr="00955FD2" w:rsidRDefault="00F363DC" w:rsidP="00D934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55FD2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206358" w:rsidRPr="00955FD2" w:rsidRDefault="00206358" w:rsidP="00D934A9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F363DC" w:rsidRPr="00955FD2" w:rsidRDefault="00F363DC" w:rsidP="00D93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D2">
        <w:rPr>
          <w:rFonts w:ascii="Times New Roman" w:hAnsi="Times New Roman" w:cs="Times New Roman"/>
          <w:sz w:val="24"/>
          <w:szCs w:val="24"/>
        </w:rPr>
        <w:t>Начальник управления экономики,</w:t>
      </w:r>
    </w:p>
    <w:p w:rsidR="00F363DC" w:rsidRPr="00955FD2" w:rsidRDefault="00F363DC" w:rsidP="00D93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D2">
        <w:rPr>
          <w:rFonts w:ascii="Times New Roman" w:hAnsi="Times New Roman" w:cs="Times New Roman"/>
          <w:sz w:val="24"/>
          <w:szCs w:val="24"/>
        </w:rPr>
        <w:t>реформ и программ администрации</w:t>
      </w:r>
    </w:p>
    <w:p w:rsidR="00F363DC" w:rsidRPr="00955FD2" w:rsidRDefault="00F363DC" w:rsidP="00D93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D2">
        <w:rPr>
          <w:rFonts w:ascii="Times New Roman" w:hAnsi="Times New Roman" w:cs="Times New Roman"/>
          <w:sz w:val="24"/>
          <w:szCs w:val="24"/>
        </w:rPr>
        <w:t xml:space="preserve">Белоярского района                                                                                                        Л.М.Бурматова       </w:t>
      </w:r>
    </w:p>
    <w:p w:rsidR="00F363DC" w:rsidRPr="00955FD2" w:rsidRDefault="00F363DC" w:rsidP="00F363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3DC" w:rsidRPr="00955FD2" w:rsidRDefault="00F363DC" w:rsidP="00F363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3DC" w:rsidRPr="00955FD2" w:rsidRDefault="00F363DC" w:rsidP="00F363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6A2A" w:rsidRPr="00955FD2" w:rsidRDefault="00BC6A2A" w:rsidP="00F363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6A2A" w:rsidRPr="00955FD2" w:rsidRDefault="00BC6A2A" w:rsidP="00F363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6358" w:rsidRPr="00955FD2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955FD2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955FD2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358" w:rsidRPr="00955FD2" w:rsidRDefault="00206358" w:rsidP="00F363D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206358" w:rsidRPr="00955FD2" w:rsidSect="00F363D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5465"/>
    <w:multiLevelType w:val="hybridMultilevel"/>
    <w:tmpl w:val="E9C01BE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7154E4"/>
    <w:multiLevelType w:val="hybridMultilevel"/>
    <w:tmpl w:val="30BE4438"/>
    <w:lvl w:ilvl="0" w:tplc="8062D5FC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58C00F14"/>
    <w:multiLevelType w:val="hybridMultilevel"/>
    <w:tmpl w:val="23D028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234D60"/>
    <w:multiLevelType w:val="hybridMultilevel"/>
    <w:tmpl w:val="EF42553E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23"/>
    <w:rsid w:val="00006572"/>
    <w:rsid w:val="000103C7"/>
    <w:rsid w:val="0001353A"/>
    <w:rsid w:val="00037E2C"/>
    <w:rsid w:val="00057707"/>
    <w:rsid w:val="00063159"/>
    <w:rsid w:val="00090ED4"/>
    <w:rsid w:val="000911E3"/>
    <w:rsid w:val="000B54AE"/>
    <w:rsid w:val="000D1C62"/>
    <w:rsid w:val="000F4A82"/>
    <w:rsid w:val="0010276F"/>
    <w:rsid w:val="00132788"/>
    <w:rsid w:val="0015606C"/>
    <w:rsid w:val="00190A98"/>
    <w:rsid w:val="00193E0A"/>
    <w:rsid w:val="00194005"/>
    <w:rsid w:val="001A5FF1"/>
    <w:rsid w:val="001B2210"/>
    <w:rsid w:val="001B414B"/>
    <w:rsid w:val="001C1AFC"/>
    <w:rsid w:val="001C4555"/>
    <w:rsid w:val="001E653A"/>
    <w:rsid w:val="001F7858"/>
    <w:rsid w:val="00206358"/>
    <w:rsid w:val="002067F1"/>
    <w:rsid w:val="00216479"/>
    <w:rsid w:val="00267633"/>
    <w:rsid w:val="00271C27"/>
    <w:rsid w:val="002A17F6"/>
    <w:rsid w:val="002B3BB4"/>
    <w:rsid w:val="002B48F2"/>
    <w:rsid w:val="002E25A9"/>
    <w:rsid w:val="00311B02"/>
    <w:rsid w:val="00361314"/>
    <w:rsid w:val="00387376"/>
    <w:rsid w:val="003A22D1"/>
    <w:rsid w:val="003B3177"/>
    <w:rsid w:val="003D244E"/>
    <w:rsid w:val="003D61F6"/>
    <w:rsid w:val="003F7BD0"/>
    <w:rsid w:val="004051BA"/>
    <w:rsid w:val="00414DFD"/>
    <w:rsid w:val="00416078"/>
    <w:rsid w:val="00426E6B"/>
    <w:rsid w:val="00434C65"/>
    <w:rsid w:val="00440A79"/>
    <w:rsid w:val="00453874"/>
    <w:rsid w:val="004563E9"/>
    <w:rsid w:val="0048163D"/>
    <w:rsid w:val="00491A2C"/>
    <w:rsid w:val="004A19C6"/>
    <w:rsid w:val="004A6FD0"/>
    <w:rsid w:val="004B1131"/>
    <w:rsid w:val="004B258B"/>
    <w:rsid w:val="004C52F4"/>
    <w:rsid w:val="004D43B8"/>
    <w:rsid w:val="004E3E97"/>
    <w:rsid w:val="004E521B"/>
    <w:rsid w:val="004E5AC4"/>
    <w:rsid w:val="004F46E5"/>
    <w:rsid w:val="00514F1A"/>
    <w:rsid w:val="00542615"/>
    <w:rsid w:val="00560444"/>
    <w:rsid w:val="00566EA0"/>
    <w:rsid w:val="0057461E"/>
    <w:rsid w:val="00587B00"/>
    <w:rsid w:val="005A06F7"/>
    <w:rsid w:val="005D6ED6"/>
    <w:rsid w:val="005E0CB7"/>
    <w:rsid w:val="005E7917"/>
    <w:rsid w:val="00626097"/>
    <w:rsid w:val="00632C54"/>
    <w:rsid w:val="00650DD3"/>
    <w:rsid w:val="006674FA"/>
    <w:rsid w:val="00680272"/>
    <w:rsid w:val="006C2F95"/>
    <w:rsid w:val="006C4C9F"/>
    <w:rsid w:val="006D1813"/>
    <w:rsid w:val="006D275A"/>
    <w:rsid w:val="006F6C14"/>
    <w:rsid w:val="00725ABB"/>
    <w:rsid w:val="00733D04"/>
    <w:rsid w:val="0076798D"/>
    <w:rsid w:val="007739E1"/>
    <w:rsid w:val="00785027"/>
    <w:rsid w:val="00795AD6"/>
    <w:rsid w:val="007C42A9"/>
    <w:rsid w:val="007C688C"/>
    <w:rsid w:val="007D23D6"/>
    <w:rsid w:val="00803A5C"/>
    <w:rsid w:val="00815E86"/>
    <w:rsid w:val="00826EA6"/>
    <w:rsid w:val="00835C0D"/>
    <w:rsid w:val="00867FC9"/>
    <w:rsid w:val="00874E8B"/>
    <w:rsid w:val="008A1D3F"/>
    <w:rsid w:val="008D269A"/>
    <w:rsid w:val="008D7CA8"/>
    <w:rsid w:val="008E341B"/>
    <w:rsid w:val="008E4427"/>
    <w:rsid w:val="008F3644"/>
    <w:rsid w:val="008F50BC"/>
    <w:rsid w:val="008F64A0"/>
    <w:rsid w:val="009035E9"/>
    <w:rsid w:val="00915084"/>
    <w:rsid w:val="00915243"/>
    <w:rsid w:val="00924485"/>
    <w:rsid w:val="00935728"/>
    <w:rsid w:val="00937A3C"/>
    <w:rsid w:val="00937DF8"/>
    <w:rsid w:val="00955FD2"/>
    <w:rsid w:val="009661F5"/>
    <w:rsid w:val="00966483"/>
    <w:rsid w:val="00994F35"/>
    <w:rsid w:val="009A0FF0"/>
    <w:rsid w:val="009A53CF"/>
    <w:rsid w:val="009A595F"/>
    <w:rsid w:val="009B1AC2"/>
    <w:rsid w:val="009C2AE9"/>
    <w:rsid w:val="009F2800"/>
    <w:rsid w:val="009F4467"/>
    <w:rsid w:val="00A0182F"/>
    <w:rsid w:val="00A11661"/>
    <w:rsid w:val="00A4202B"/>
    <w:rsid w:val="00A57D9E"/>
    <w:rsid w:val="00A66D84"/>
    <w:rsid w:val="00A72666"/>
    <w:rsid w:val="00A865C0"/>
    <w:rsid w:val="00A873E1"/>
    <w:rsid w:val="00AD5FC0"/>
    <w:rsid w:val="00AF4AE1"/>
    <w:rsid w:val="00B25BA1"/>
    <w:rsid w:val="00B42AFA"/>
    <w:rsid w:val="00B43C16"/>
    <w:rsid w:val="00B5412A"/>
    <w:rsid w:val="00B85160"/>
    <w:rsid w:val="00BB5081"/>
    <w:rsid w:val="00BB6704"/>
    <w:rsid w:val="00BC6A2A"/>
    <w:rsid w:val="00BD0647"/>
    <w:rsid w:val="00BF14B4"/>
    <w:rsid w:val="00BF3BD6"/>
    <w:rsid w:val="00C07DA4"/>
    <w:rsid w:val="00C1395B"/>
    <w:rsid w:val="00C220DD"/>
    <w:rsid w:val="00C4277D"/>
    <w:rsid w:val="00C55008"/>
    <w:rsid w:val="00C71092"/>
    <w:rsid w:val="00C75EBF"/>
    <w:rsid w:val="00C93923"/>
    <w:rsid w:val="00CB389A"/>
    <w:rsid w:val="00CF14CA"/>
    <w:rsid w:val="00D13C2D"/>
    <w:rsid w:val="00D25FBB"/>
    <w:rsid w:val="00D30A77"/>
    <w:rsid w:val="00D333E9"/>
    <w:rsid w:val="00D36447"/>
    <w:rsid w:val="00D53CC9"/>
    <w:rsid w:val="00D902E1"/>
    <w:rsid w:val="00D934A9"/>
    <w:rsid w:val="00DB25D4"/>
    <w:rsid w:val="00DB38C2"/>
    <w:rsid w:val="00DC79A2"/>
    <w:rsid w:val="00DE090D"/>
    <w:rsid w:val="00DF3CF0"/>
    <w:rsid w:val="00DF6402"/>
    <w:rsid w:val="00E47436"/>
    <w:rsid w:val="00E54C4E"/>
    <w:rsid w:val="00E66851"/>
    <w:rsid w:val="00E7692E"/>
    <w:rsid w:val="00E85D8A"/>
    <w:rsid w:val="00EA7322"/>
    <w:rsid w:val="00EB5F40"/>
    <w:rsid w:val="00EC23D2"/>
    <w:rsid w:val="00EC7F76"/>
    <w:rsid w:val="00ED2877"/>
    <w:rsid w:val="00EF2ED9"/>
    <w:rsid w:val="00F04921"/>
    <w:rsid w:val="00F363DC"/>
    <w:rsid w:val="00F57648"/>
    <w:rsid w:val="00F6186A"/>
    <w:rsid w:val="00F6348C"/>
    <w:rsid w:val="00F72D19"/>
    <w:rsid w:val="00F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CB665-885F-4788-BB36-AD4C7F32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363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36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A17F6"/>
    <w:pPr>
      <w:spacing w:after="0" w:line="240" w:lineRule="auto"/>
    </w:pPr>
  </w:style>
  <w:style w:type="paragraph" w:styleId="a7">
    <w:name w:val="Body Text"/>
    <w:basedOn w:val="a"/>
    <w:link w:val="a8"/>
    <w:rsid w:val="00955F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955FD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8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Плетнёва Татьяна Васильевна</cp:lastModifiedBy>
  <cp:revision>154</cp:revision>
  <dcterms:created xsi:type="dcterms:W3CDTF">2019-03-13T04:12:00Z</dcterms:created>
  <dcterms:modified xsi:type="dcterms:W3CDTF">2023-05-03T09:30:00Z</dcterms:modified>
</cp:coreProperties>
</file>