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en-US"/>
        </w:rPr>
        <w:t>02</w:t>
      </w:r>
      <w:r>
        <w:rPr>
          <w:color w:val="333333"/>
        </w:rPr>
        <w:t>.</w:t>
      </w:r>
      <w:r>
        <w:rPr>
          <w:rFonts w:hint="default"/>
          <w:color w:val="333333"/>
          <w:lang w:val="en-US"/>
        </w:rPr>
        <w:t>04</w:t>
      </w:r>
      <w:r>
        <w:rPr>
          <w:color w:val="333333"/>
        </w:rPr>
        <w:t>.202</w:t>
      </w:r>
      <w:r>
        <w:rPr>
          <w:rFonts w:hint="default"/>
          <w:color w:val="333333"/>
          <w:lang w:val="en-US"/>
        </w:rPr>
        <w:t>3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Порядке предоставления субсидии из бюджета Белоярского района муниципальным унитарным предприятиям Белоярского района на финансовое обеспечение затрат в связи с организацией оказания коммунальных услуг».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bookmarkStart w:id="0" w:name="_GoBack"/>
      <w:bookmarkEnd w:id="0"/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331B7A33"/>
    <w:rsid w:val="39AF78C2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100</TotalTime>
  <ScaleCrop>false</ScaleCrop>
  <LinksUpToDate>false</LinksUpToDate>
  <CharactersWithSpaces>1151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2023-04-20T07:08:52Z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E70700977F3A46C6AE82910FCCEF9704</vt:lpwstr>
  </property>
</Properties>
</file>