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540"/>
        <w:outlineLvl w:val="0"/>
        <w:rPr>
          <w:rFonts w:hint="default" w:ascii="Arial" w:hAnsi="Arial"/>
          <w:b/>
          <w:sz w:val="20"/>
          <w:szCs w:val="24"/>
        </w:rPr>
      </w:pPr>
      <w:bookmarkStart w:id="3" w:name="_GoBack"/>
      <w:bookmarkEnd w:id="3"/>
      <w:r>
        <w:rPr>
          <w:rFonts w:hint="default" w:ascii="Arial" w:hAnsi="Arial"/>
          <w:b/>
          <w:sz w:val="20"/>
          <w:szCs w:val="24"/>
        </w:rPr>
        <w:t>Статья 10. Нарушение тишины и покоя граждан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consultantplus://offline/ref=985DFA738D42EACDD6D6F9AA24CF09B45AEF08B8529EF79C827A0755FC4FFBC168D59549F30672F310446FE09A3C5461DF32200186989BC03A74B045XAPAG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28.05.2015 N 53-оз)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bookmarkStart w:id="0" w:name="Par3"/>
      <w:bookmarkEnd w:id="0"/>
      <w:r>
        <w:rPr>
          <w:rFonts w:hint="default" w:ascii="Arial" w:hAnsi="Arial"/>
          <w:sz w:val="20"/>
          <w:szCs w:val="24"/>
        </w:rPr>
        <w:t xml:space="preserve">1. Использование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подоконниках, с 22.00 до 8.00 часов, иные действия, нарушающие тишину и покой граждан с 22.00 до 8.00 часов, если такие действия не содержат признаков уголовно наказуемого деяния или административного правонарушения, предусмотренного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consultantplus://offline/ref=985DFA738D42EACDD6D6E7A732A35EBB58E056B2529CFFC3D82F0102A31FFD943A95CB10B24261F2135A6DE091X3P4G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Кодексом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Российской Федерации об административных правонарушениях, -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Законов ХМАО - Югры от 28.05.2015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consultantplus://offline/ref=985DFA738D42EACDD6D6F9AA24CF09B45AEF08B8529EF79C827A0755FC4FFBC168D59549F30672F310446FE1923C5461DF32200186989BC03A74B045XAPAG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53-оз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, от 31.03.2017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consultantplus://offline/ref=985DFA738D42EACDD6D6F9AA24CF09B45AEF08B8529BFC9D807E0755FC4FFBC168D59549F30672F310446FE09A3C5461DF32200186989BC03A74B045XAPAG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11-оз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>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влекут предупреждение или наложение административного штрафа на граждан в размере от пятисот до двух тысяч рублей; на должностных лиц - от трех тысяч до десяти тысяч пятисот рублей; на юридических лиц - от пяти тысяч до пятнадцати тысяч рублей.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consultantplus://offline/ref=985DFA738D42EACDD6D6F9AA24CF09B45AEF08B8529EF79C827A0755FC4FFBC168D59549F30672F310446FE1903C5461DF32200186989BC03A74B045XAPAG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28.05.2015 N 53-оз)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 Организация и проведение с 21.00 до 8.00 часов в жилой зоне строительных, ремонтных, погрузочно-разгрузочных и других работ, нарушающих тишину и покой граждан, -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Законов ХМАО - Югры от 28.05.2015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consultantplus://offline/ref=985DFA738D42EACDD6D6F9AA24CF09B45AEF08B8529EF79C827A0755FC4FFBC168D59549F30672F310446FE1973C5461DF32200186989BC03A74B045XAPAG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53-оз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, от 31.03.2017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consultantplus://offline/ref=985DFA738D42EACDD6D6F9AA24CF09B45AEF08B8529BFC9D807E0755FC4FFBC168D59549F30672F310446FE1933C5461DF32200186989BC03A74B045XAPAG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11-оз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>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наложение административного штрафа на граждан в размере от пятисот до двух тысяч рублей; на должностных лиц - от трех тысяч до десяти тысяч пятисот рублей; на юридических лиц - от пяти тысяч до пятнадцати тысяч рублей.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bookmarkStart w:id="1" w:name="Par10"/>
      <w:bookmarkEnd w:id="1"/>
      <w:r>
        <w:rPr>
          <w:rFonts w:hint="default" w:ascii="Arial" w:hAnsi="Arial"/>
          <w:sz w:val="20"/>
          <w:szCs w:val="24"/>
        </w:rPr>
        <w:t>3. Организация и проведение в рабочие дни (в том числе в субботу) с 13.00 до 15.00 часов, с 21.00 до 8.00 часов, а также в любое время в воскресенье и нерабочие праздничные дни в многоквартирном доме строительных, ремонтных работ, сопровождающихся повышенной громкостью и нарушающих тишину и покой граждан, -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consultantplus://offline/ref=985DFA738D42EACDD6D6F9AA24CF09B45AEF08B85297F49C85720755FC4FFBC168D59549F30672F310446FE09B3C5461DF32200186989BC03A74B045XAPAG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17.10.2018 N 72-оз)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предупреждение или наложение административного штрафа на граждан в размере от пятисот до двух тысяч рублей; на должностных лиц - от трех тысяч до десяти тысяч пятисот рублей; на юридических лиц - от пяти тысяч до пятнадцати тысяч рублей.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consultantplus://offline/ref=985DFA738D42EACDD6D6F9AA24CF09B45AEF08B8529BFC9D807E0755FC4FFBC168D59549F30672F310446FE1923C5461DF32200186989BC03A74B045XAPAG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31.03.2017 N 11-оз)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bookmarkStart w:id="2" w:name="Par14"/>
      <w:bookmarkEnd w:id="2"/>
      <w:r>
        <w:rPr>
          <w:rFonts w:hint="default" w:ascii="Arial" w:hAnsi="Arial"/>
          <w:sz w:val="20"/>
          <w:szCs w:val="24"/>
        </w:rPr>
        <w:t xml:space="preserve">3.1. Использование на повышенной громкости бытовой электронной техники в помещениях (в том числе встроенных и пристроенных) многоквартирных домов, нарушающее тишину и покой граждан, за исключением случаев, предусмотренных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Par3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пунктом 1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настоящей статьи, -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предупреждение или наложение административного штрафа на граждан в размере от пятисот до двух тысяч рублей; на должностных лиц - от трех тысяч до десяти тысяч пятисот рублей; на юридических лиц - от пяти тысяч до пятнадцати тысяч рублей.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(п. 3.1 введен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consultantplus://offline/ref=985DFA738D42EACDD6D6F9AA24CF09B45AEF08B8529EF79C827A0755FC4FFBC168D59549F30672F310446FE1963C5461DF32200186989BC03A74B045XAPAG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28.05.2015 N 53-оз)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4. Повторное совершение административного правонарушения, предусмотренного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Par3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пунктами 1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-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Par10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3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,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Par14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3.1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настоящей статьи, -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consultantplus://offline/ref=985DFA738D42EACDD6D6F9AA24CF09B45AEF08B8529EF79C827A0755FC4FFBC168D59549F30672F310446FE19B3C5461DF32200186989BC03A74B045XAPAG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28.05.2015 N 53-оз)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пяти тысяч до тридцати тысяч рублей; на юридических лиц - от десяти тысяч до пятидесяти тысяч рублей.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consultantplus://offline/ref=985DFA738D42EACDD6D6F9AA24CF09B45AEF08B8519DF49D867D0755FC4FFBC168D59549F30672F310446FE09B3C5461DF32200186989BC03A74B045XAPAG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27.02.2020 N 8-оз)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(п. 4 введен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consultantplus://offline/ref=985DFA738D42EACDD6D6F9AA24CF09B45AEF08B8529FF2928C7C0755FC4FFBC168D59549F30672F310446FE1953C5461DF32200186989BC03A74B045XAPAG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10.12.2014 N 109-оз)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Примечания.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1. Для целей применения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Par14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пункта 3.1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настоящей статьи под бытовой электронной техникой понимаются радиоприемники и приемники телевизионные, в том числе телевизоры, проигрыватели, магнитофоны, громкоговорители, микрофоны, установки электрических усилителей звука, игровые приставки, а также иные техника и аппаратура, указанные в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consultantplus://offline/ref=985DFA738D42EACDD6D6E7A732A35EBB58E75FBC569CFFC3D82F0102A31FFD942895931CB14B7BF3114F3BB1D7620D329B792D0098849BC1X2P7G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группе 26.40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"Техника бытовая электронная" Общероссийского классификатора продукции по видам экономической деятельности (ОКПД 2) ОК 034-2014 (КПЕС 2008).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 Не влекут административную ответственность в соответствии с настоящей статьей действия граждан, должностных лиц и юридических лиц, связанные с: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1) предупреждением, предотвращением, пресечением правонарушений;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2) предотвращением и ликвидацией последствий аварий, стихийных бедствий, иных чрезвычайных ситуаций, выполнением работ, связанных с обеспечением санитарно-эпидемиологического благополучия населения, личной и общественной безопасности граждан, функционированием объектов жизнеобеспечения населения, объектов транспортной инфраструктуры;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consultantplus://offline/ref=985DFA738D42EACDD6D6F9AA24CF09B45AEF08B85297F49C85720755FC4FFBC168D59549F30672F310446FE1933C5461DF32200186989BC03A74B045XAPAG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ХМАО - Югры от 17.10.2018 N 72-оз)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3) проведением по решению органов государственной власти и (или) органов местного самоуправления муниципальных образований автономного округа публичных праздничных мероприятий;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4) подачей звуковых, в том числе специальных, сигналов в соответствии с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consultantplus://offline/ref=985DFA738D42EACDD6D6E7A732A35EBB58E65EB15696FFC3D82F0102A31FFD942895931CB0427FF3154F3BB1D7620D329B792D0098849BC1X2P7G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Правилами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дорожного движения Российской Федерации;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5) использованием пиротехнических средств в ночь с 31 декабря на 1 января (в новогоднюю ночь);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6) совершением публичных богослужений и других религиозных обрядов и церемоний.</w:t>
      </w:r>
    </w:p>
    <w:p/>
    <w:sectPr>
      <w:pgSz w:w="11906" w:h="16838"/>
      <w:pgMar w:top="1440" w:right="566" w:bottom="1440" w:left="1133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2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2023-03-20T06:15:04Z</dcterms:created>
  <dc:creator>BelyaevAS</dc:creator>
  <cp:lastModifiedBy>BelyaevAS</cp:lastModifiedBy>
  <dcterms:modified xsi:type="dcterms:W3CDTF">2023-03-20T06:16:39Z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6D8F363C18B84C4B941D54CB133EC173</vt:lpwstr>
  </property>
</Properties>
</file>