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</w:t>
      </w:r>
      <w:r>
        <w:rPr>
          <w:rFonts w:hint="default" w:ascii="Times New Roman" w:hAnsi="Times New Roman" w:eastAsia="Times New Roman"/>
          <w:sz w:val="24"/>
          <w:szCs w:val="20"/>
          <w:lang w:val="en-US" w:eastAsia="ru-RU"/>
        </w:rPr>
        <w:t>2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</w:t>
      </w:r>
    </w:p>
    <w:p>
      <w:pPr>
        <w:pStyle w:val="9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июл</w:t>
      </w:r>
      <w:r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597</w:t>
      </w:r>
    </w:p>
    <w:p>
      <w:pPr>
        <w:pStyle w:val="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«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мест, запрещённых для купания на водных объектах, расположенных в границах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утверждении Перечня мест, запрещённых для купания на водных объектах, расположенных в границах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>» 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согласно приложению к настоящему постановлению.</w:t>
      </w:r>
    </w:p>
    <w:p>
      <w:pPr>
        <w:pStyle w:val="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10"/>
        <w:ind w:firstLine="709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0"/>
        <w:ind w:firstLine="709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оставляю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собой. </w:t>
      </w:r>
    </w:p>
    <w:p>
      <w:pPr>
        <w:pStyle w:val="1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firstLine="0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обязанности 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.В.Ойнец</w:t>
      </w:r>
    </w:p>
    <w:p>
      <w:pPr>
        <w:pStyle w:val="1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3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ПРИЛОЖЕНИЕ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3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к постановлению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3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Белоярского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3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от «___» </w:t>
      </w:r>
      <w:r>
        <w:rPr>
          <w:rFonts w:hint="default" w:ascii="Times New Roman" w:hAnsi="Times New Roman" w:cs="Times New Roman"/>
          <w:sz w:val="24"/>
          <w:lang w:val="ru-RU"/>
        </w:rPr>
        <w:t>июля</w:t>
      </w:r>
      <w:r>
        <w:rPr>
          <w:rFonts w:hint="default" w:ascii="Times New Roman" w:hAnsi="Times New Roman" w:cs="Times New Roman"/>
          <w:sz w:val="24"/>
        </w:rPr>
        <w:t xml:space="preserve"> 20</w:t>
      </w:r>
      <w:r>
        <w:rPr>
          <w:rFonts w:hint="default" w:ascii="Times New Roman" w:hAnsi="Times New Roman" w:cs="Times New Roman"/>
          <w:sz w:val="24"/>
          <w:lang w:val="ru-RU"/>
        </w:rPr>
        <w:t>22</w:t>
      </w:r>
      <w:r>
        <w:rPr>
          <w:rFonts w:hint="default" w:ascii="Times New Roman" w:hAnsi="Times New Roman" w:cs="Times New Roman"/>
          <w:sz w:val="24"/>
        </w:rPr>
        <w:t xml:space="preserve"> года № 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Е Р Е Ч Е Н 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мест, запрещенных для купания на водных объектах, расположенных в границах городского поселения Белоярский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7"/>
        <w:gridCol w:w="2552"/>
        <w:gridCol w:w="326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Место расположения участка водного объекта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Причина запрета купания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озеро Ун-Новыинклор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от отметки 63º40'36,59" северной широты 66º47'45,04" восточной долготы до отметки 63º40'35,66" северной широты 66º47'39,51" восточной долготы (озеро Светлое)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дно водоема не обследовано, заросло водорослями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река Казым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от отметки 63º42'57,77" северной широты 66º39'29,03" восточной долготы до отметки 63º43'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" северной широты 66º3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'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ru-RU"/>
              </w:rPr>
              <w:t>57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,3" восточной долготы (автостанция)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дно водоема не обследовано, течение реки на данном участке быстрое и образует завихрения, дно неровное, река является судоходной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река Казым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от отметки 63º42'48,44" северной широты 66º44'19,20" восточной долготы до отметки 63º42'43,95" северной широты 66º44'23,60" восточной долготы (за СОНТ «Луч»)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дно водоема не обследовано, течение реки на данном участке образует завихрения, дно обрывистое неровное, река является судоходной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озеро Полынглор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от отметки 63º43'28,30" северной широты 66º40'25,24" восточной долготы до отметки 63º42'59,81" северной широты 66º41'12,67" восточной долготы (озеро Школьное)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дно водоема не обследовано, заросло водорослями, возможно нахождение под водой строительных конструкций, сток воды с прилегающих территорий города направлен в озеро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озер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 xml:space="preserve"> Нешинелор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от отметки 63º41'37,45" северной широты 66º44'12,10" восточной долготы до отметки 63º41'36,97" северной широты 66º44'09,32" восточной долготы (за городком СУ-966)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дно водоема не обследовано, заросло водорослями, возможно нахождение под водой строительных конструкций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pStyle w:val="1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2379345</wp:posOffset>
                </wp:positionH>
                <wp:positionV relativeFrom="paragraph">
                  <wp:posOffset>382905</wp:posOffset>
                </wp:positionV>
                <wp:extent cx="116967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left:187.35pt;margin-top:30.15pt;height:0pt;width:92.1pt;mso-position-horizontal-relative:margin;z-index:251659264;mso-width-relative:page;mso-height-relative:page;" filled="f" stroked="t" coordsize="21600,21600" o:gfxdata="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EypLYAAAACQEAAA8AAAAAAAAAAQAg&#10;AAAAIgAAAGRycy9kb3ducmV2LnhtbFBLAQIUABQAAAAIAIdO4kD2ZOaKDgIAAPgDAAAOAAAAAAAA&#10;AAEAIAAAACcBAABkcnMvZTJvRG9jLnhtbFBLBQYAAAAABgAGAFkBAACn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FEFE"/>
    <w:multiLevelType w:val="singleLevel"/>
    <w:tmpl w:val="7AC2FE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C2506"/>
    <w:rsid w:val="00C04D1F"/>
    <w:rsid w:val="00C06F88"/>
    <w:rsid w:val="00C40CFA"/>
    <w:rsid w:val="00C6415E"/>
    <w:rsid w:val="00C8273F"/>
    <w:rsid w:val="00CF46B0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1665440A"/>
    <w:rsid w:val="2E1A0D0E"/>
    <w:rsid w:val="42F37286"/>
    <w:rsid w:val="48F60BFB"/>
    <w:rsid w:val="58252F9D"/>
    <w:rsid w:val="5F2F1E80"/>
    <w:rsid w:val="70BA375E"/>
    <w:rsid w:val="723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20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Основной текст_"/>
    <w:basedOn w:val="2"/>
    <w:link w:val="12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1"/>
    <w:link w:val="11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Основной текст (2)_"/>
    <w:basedOn w:val="2"/>
    <w:link w:val="15"/>
    <w:qFormat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6">
    <w:name w:val="Основной текст (2) + Интервал 3 pt"/>
    <w:basedOn w:val="14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Заголовок №1_"/>
    <w:basedOn w:val="2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8">
    <w:name w:val="Заголовок №1"/>
    <w:basedOn w:val="17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589</Words>
  <Characters>3360</Characters>
  <Lines>28</Lines>
  <Paragraphs>7</Paragraphs>
  <TotalTime>0</TotalTime>
  <ScaleCrop>false</ScaleCrop>
  <LinksUpToDate>false</LinksUpToDate>
  <CharactersWithSpaces>3942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2019-02-28T11:41:00Z</dcterms:created>
  <dc:creator>Schorin</dc:creator>
  <cp:lastModifiedBy>BraginVV</cp:lastModifiedBy>
  <cp:lastPrinted>2022-07-27T06:41:19Z</cp:lastPrinted>
  <dcterms:modified xsi:type="dcterms:W3CDTF">2022-07-27T06:41:25Z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CDA04830703944048932184AB7A13B73</vt:lpwstr>
  </property>
</Properties>
</file>