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61B" w:rsidRPr="00EB7E02" w:rsidRDefault="0073661B" w:rsidP="00725F73">
      <w:pPr>
        <w:spacing w:line="360" w:lineRule="auto"/>
        <w:jc w:val="center"/>
        <w:rPr>
          <w:rFonts w:ascii="Times New Roman" w:hAnsi="Times New Roman" w:cs="Times New Roman"/>
          <w:b/>
          <w:sz w:val="26"/>
          <w:szCs w:val="26"/>
        </w:rPr>
      </w:pPr>
      <w:r w:rsidRPr="00EB7E02">
        <w:rPr>
          <w:rFonts w:ascii="Times New Roman" w:hAnsi="Times New Roman" w:cs="Times New Roman"/>
          <w:b/>
          <w:sz w:val="26"/>
          <w:szCs w:val="26"/>
        </w:rPr>
        <w:t xml:space="preserve">Отчет о состоянии и развитии конкурентной среды </w:t>
      </w:r>
      <w:r w:rsidR="00DA5327" w:rsidRPr="00EB7E02">
        <w:rPr>
          <w:rFonts w:ascii="Times New Roman" w:hAnsi="Times New Roman" w:cs="Times New Roman"/>
          <w:b/>
          <w:sz w:val="26"/>
          <w:szCs w:val="26"/>
        </w:rPr>
        <w:t>на рынках товаров и услуг на территории Белоярского района</w:t>
      </w:r>
    </w:p>
    <w:p w:rsidR="00876179" w:rsidRPr="00EB7E02" w:rsidRDefault="00BA2A07" w:rsidP="009A0686">
      <w:pPr>
        <w:spacing w:after="0" w:line="360" w:lineRule="auto"/>
        <w:rPr>
          <w:rFonts w:ascii="Times New Roman" w:hAnsi="Times New Roman" w:cs="Times New Roman"/>
          <w:b/>
          <w:sz w:val="26"/>
          <w:szCs w:val="26"/>
        </w:rPr>
      </w:pPr>
      <w:r w:rsidRPr="00EB7E02">
        <w:rPr>
          <w:rFonts w:ascii="Times New Roman" w:hAnsi="Times New Roman" w:cs="Times New Roman"/>
          <w:b/>
          <w:sz w:val="26"/>
          <w:szCs w:val="26"/>
        </w:rPr>
        <w:t>Рынок производства продукции сельского хозяйства</w:t>
      </w:r>
    </w:p>
    <w:p w:rsidR="00E51782" w:rsidRDefault="00E51782" w:rsidP="00F90FE4">
      <w:pPr>
        <w:spacing w:after="0" w:line="360" w:lineRule="auto"/>
        <w:ind w:firstLine="709"/>
        <w:jc w:val="both"/>
        <w:rPr>
          <w:rFonts w:ascii="Times New Roman" w:hAnsi="Times New Roman" w:cs="Times New Roman"/>
          <w:sz w:val="24"/>
          <w:szCs w:val="24"/>
        </w:rPr>
      </w:pPr>
      <w:r w:rsidRPr="00E51782">
        <w:rPr>
          <w:rFonts w:ascii="Times New Roman" w:hAnsi="Times New Roman" w:cs="Times New Roman"/>
          <w:sz w:val="24"/>
          <w:szCs w:val="24"/>
        </w:rPr>
        <w:t xml:space="preserve">В 2017 году предприятиями агропромышленного комплекса </w:t>
      </w:r>
      <w:r w:rsidR="00233CCF">
        <w:rPr>
          <w:rFonts w:ascii="Times New Roman" w:hAnsi="Times New Roman" w:cs="Times New Roman"/>
          <w:sz w:val="24"/>
          <w:szCs w:val="24"/>
        </w:rPr>
        <w:t xml:space="preserve">на территории Белоярского района </w:t>
      </w:r>
      <w:r w:rsidRPr="00E51782">
        <w:rPr>
          <w:rFonts w:ascii="Times New Roman" w:hAnsi="Times New Roman" w:cs="Times New Roman"/>
          <w:sz w:val="24"/>
          <w:szCs w:val="24"/>
        </w:rPr>
        <w:t xml:space="preserve">была обеспечена положительная динамика развития сельского хозяйства, рыбной отрасли. На постоянной основе </w:t>
      </w:r>
      <w:r w:rsidR="00233CCF">
        <w:rPr>
          <w:rFonts w:ascii="Times New Roman" w:hAnsi="Times New Roman" w:cs="Times New Roman"/>
          <w:sz w:val="24"/>
          <w:szCs w:val="24"/>
        </w:rPr>
        <w:t xml:space="preserve">в </w:t>
      </w:r>
      <w:r w:rsidRPr="00E51782">
        <w:rPr>
          <w:rFonts w:ascii="Times New Roman" w:hAnsi="Times New Roman" w:cs="Times New Roman"/>
          <w:sz w:val="24"/>
          <w:szCs w:val="24"/>
        </w:rPr>
        <w:t>сельскохозяйственн</w:t>
      </w:r>
      <w:r w:rsidR="00233CCF">
        <w:rPr>
          <w:rFonts w:ascii="Times New Roman" w:hAnsi="Times New Roman" w:cs="Times New Roman"/>
          <w:sz w:val="24"/>
          <w:szCs w:val="24"/>
        </w:rPr>
        <w:t>ом</w:t>
      </w:r>
      <w:r w:rsidRPr="00E51782">
        <w:rPr>
          <w:rFonts w:ascii="Times New Roman" w:hAnsi="Times New Roman" w:cs="Times New Roman"/>
          <w:sz w:val="24"/>
          <w:szCs w:val="24"/>
        </w:rPr>
        <w:t xml:space="preserve"> производств</w:t>
      </w:r>
      <w:r w:rsidR="00233CCF">
        <w:rPr>
          <w:rFonts w:ascii="Times New Roman" w:hAnsi="Times New Roman" w:cs="Times New Roman"/>
          <w:sz w:val="24"/>
          <w:szCs w:val="24"/>
        </w:rPr>
        <w:t>е</w:t>
      </w:r>
      <w:r w:rsidRPr="00E51782">
        <w:rPr>
          <w:rFonts w:ascii="Times New Roman" w:hAnsi="Times New Roman" w:cs="Times New Roman"/>
          <w:sz w:val="24"/>
          <w:szCs w:val="24"/>
        </w:rPr>
        <w:t xml:space="preserve"> </w:t>
      </w:r>
      <w:r>
        <w:rPr>
          <w:rFonts w:ascii="Times New Roman" w:hAnsi="Times New Roman" w:cs="Times New Roman"/>
          <w:sz w:val="24"/>
          <w:szCs w:val="24"/>
        </w:rPr>
        <w:t>зан</w:t>
      </w:r>
      <w:r w:rsidR="00E27963">
        <w:rPr>
          <w:rFonts w:ascii="Times New Roman" w:hAnsi="Times New Roman" w:cs="Times New Roman"/>
          <w:sz w:val="24"/>
          <w:szCs w:val="24"/>
        </w:rPr>
        <w:t>яты</w:t>
      </w:r>
      <w:r w:rsidR="00233CCF">
        <w:rPr>
          <w:rFonts w:ascii="Times New Roman" w:hAnsi="Times New Roman" w:cs="Times New Roman"/>
          <w:sz w:val="24"/>
          <w:szCs w:val="24"/>
        </w:rPr>
        <w:t xml:space="preserve"> </w:t>
      </w:r>
      <w:r>
        <w:rPr>
          <w:rFonts w:ascii="Times New Roman" w:hAnsi="Times New Roman" w:cs="Times New Roman"/>
          <w:sz w:val="24"/>
          <w:szCs w:val="24"/>
        </w:rPr>
        <w:t>206</w:t>
      </w:r>
      <w:r w:rsidRPr="00E51782">
        <w:rPr>
          <w:rFonts w:ascii="Times New Roman" w:hAnsi="Times New Roman" w:cs="Times New Roman"/>
          <w:sz w:val="24"/>
          <w:szCs w:val="24"/>
        </w:rPr>
        <w:t xml:space="preserve"> человек. В течение года через </w:t>
      </w:r>
      <w:r>
        <w:rPr>
          <w:rFonts w:ascii="Times New Roman" w:hAnsi="Times New Roman" w:cs="Times New Roman"/>
          <w:sz w:val="24"/>
          <w:szCs w:val="24"/>
        </w:rPr>
        <w:t>КУ ХМАО-Югры «</w:t>
      </w:r>
      <w:r w:rsidRPr="00E51782">
        <w:rPr>
          <w:rFonts w:ascii="Times New Roman" w:hAnsi="Times New Roman" w:cs="Times New Roman"/>
          <w:sz w:val="24"/>
          <w:szCs w:val="24"/>
        </w:rPr>
        <w:t>Белоярский центр занятости населения</w:t>
      </w:r>
      <w:r>
        <w:rPr>
          <w:rFonts w:ascii="Times New Roman" w:hAnsi="Times New Roman" w:cs="Times New Roman"/>
          <w:sz w:val="24"/>
          <w:szCs w:val="24"/>
        </w:rPr>
        <w:t>»</w:t>
      </w:r>
      <w:r w:rsidRPr="00E51782">
        <w:rPr>
          <w:rFonts w:ascii="Times New Roman" w:hAnsi="Times New Roman" w:cs="Times New Roman"/>
          <w:sz w:val="24"/>
          <w:szCs w:val="24"/>
        </w:rPr>
        <w:t xml:space="preserve"> на временные и сезонные работы привлекал</w:t>
      </w:r>
      <w:r w:rsidR="00233CCF">
        <w:rPr>
          <w:rFonts w:ascii="Times New Roman" w:hAnsi="Times New Roman" w:cs="Times New Roman"/>
          <w:sz w:val="24"/>
          <w:szCs w:val="24"/>
        </w:rPr>
        <w:t>и</w:t>
      </w:r>
      <w:r w:rsidRPr="00E51782">
        <w:rPr>
          <w:rFonts w:ascii="Times New Roman" w:hAnsi="Times New Roman" w:cs="Times New Roman"/>
          <w:sz w:val="24"/>
          <w:szCs w:val="24"/>
        </w:rPr>
        <w:t xml:space="preserve">сь </w:t>
      </w:r>
      <w:r>
        <w:rPr>
          <w:rFonts w:ascii="Times New Roman" w:hAnsi="Times New Roman" w:cs="Times New Roman"/>
          <w:sz w:val="24"/>
          <w:szCs w:val="24"/>
        </w:rPr>
        <w:t>166</w:t>
      </w:r>
      <w:r w:rsidRPr="00E51782">
        <w:rPr>
          <w:rFonts w:ascii="Times New Roman" w:hAnsi="Times New Roman" w:cs="Times New Roman"/>
          <w:sz w:val="24"/>
          <w:szCs w:val="24"/>
        </w:rPr>
        <w:t xml:space="preserve"> человек. </w:t>
      </w:r>
    </w:p>
    <w:p w:rsidR="00E51782" w:rsidRDefault="00E51782" w:rsidP="00F90FE4">
      <w:pPr>
        <w:spacing w:after="0" w:line="360" w:lineRule="auto"/>
        <w:ind w:firstLine="709"/>
        <w:jc w:val="both"/>
        <w:rPr>
          <w:rFonts w:ascii="Times New Roman" w:hAnsi="Times New Roman" w:cs="Times New Roman"/>
          <w:sz w:val="24"/>
          <w:szCs w:val="24"/>
        </w:rPr>
      </w:pPr>
      <w:r w:rsidRPr="00E51782">
        <w:rPr>
          <w:rFonts w:ascii="Times New Roman" w:hAnsi="Times New Roman" w:cs="Times New Roman"/>
          <w:sz w:val="24"/>
          <w:szCs w:val="24"/>
        </w:rPr>
        <w:t xml:space="preserve">Производством сельскохозяйственной продукции занято </w:t>
      </w:r>
      <w:r>
        <w:rPr>
          <w:rFonts w:ascii="Times New Roman" w:hAnsi="Times New Roman" w:cs="Times New Roman"/>
          <w:sz w:val="24"/>
          <w:szCs w:val="24"/>
        </w:rPr>
        <w:t>50</w:t>
      </w:r>
      <w:r w:rsidRPr="00E51782">
        <w:rPr>
          <w:rFonts w:ascii="Times New Roman" w:hAnsi="Times New Roman" w:cs="Times New Roman"/>
          <w:sz w:val="24"/>
          <w:szCs w:val="24"/>
        </w:rPr>
        <w:t xml:space="preserve"> предприятий, в том числе:</w:t>
      </w:r>
    </w:p>
    <w:p w:rsidR="00E51782" w:rsidRDefault="00E51782" w:rsidP="00F90FE4">
      <w:pPr>
        <w:pStyle w:val="a4"/>
        <w:numPr>
          <w:ilvl w:val="0"/>
          <w:numId w:val="5"/>
        </w:numPr>
        <w:tabs>
          <w:tab w:val="left" w:pos="993"/>
        </w:tabs>
        <w:spacing w:after="0" w:line="360" w:lineRule="auto"/>
        <w:ind w:left="0" w:firstLine="709"/>
        <w:jc w:val="both"/>
        <w:rPr>
          <w:rFonts w:ascii="Times New Roman" w:hAnsi="Times New Roman" w:cs="Times New Roman"/>
          <w:sz w:val="24"/>
          <w:szCs w:val="24"/>
        </w:rPr>
      </w:pPr>
      <w:r w:rsidRPr="00E51782">
        <w:rPr>
          <w:rFonts w:ascii="Times New Roman" w:hAnsi="Times New Roman" w:cs="Times New Roman"/>
          <w:sz w:val="24"/>
          <w:szCs w:val="24"/>
        </w:rPr>
        <w:t xml:space="preserve">разведением северных оленей занято 27 крестьянских (фермерских) хозяйств,                 2 общины коренных (малочисленных) народов Севера, </w:t>
      </w:r>
      <w:r>
        <w:rPr>
          <w:rFonts w:ascii="Times New Roman" w:hAnsi="Times New Roman" w:cs="Times New Roman"/>
          <w:sz w:val="24"/>
          <w:szCs w:val="24"/>
        </w:rPr>
        <w:t>а также АО «</w:t>
      </w:r>
      <w:proofErr w:type="spellStart"/>
      <w:r>
        <w:rPr>
          <w:rFonts w:ascii="Times New Roman" w:hAnsi="Times New Roman" w:cs="Times New Roman"/>
          <w:sz w:val="24"/>
          <w:szCs w:val="24"/>
        </w:rPr>
        <w:t>Казымская</w:t>
      </w:r>
      <w:proofErr w:type="spellEnd"/>
      <w:r>
        <w:rPr>
          <w:rFonts w:ascii="Times New Roman" w:hAnsi="Times New Roman" w:cs="Times New Roman"/>
          <w:sz w:val="24"/>
          <w:szCs w:val="24"/>
        </w:rPr>
        <w:t xml:space="preserve"> оленеводческая компания»</w:t>
      </w:r>
      <w:r w:rsidRPr="00E51782">
        <w:rPr>
          <w:rFonts w:ascii="Times New Roman" w:hAnsi="Times New Roman" w:cs="Times New Roman"/>
          <w:sz w:val="24"/>
          <w:szCs w:val="24"/>
        </w:rPr>
        <w:t>;</w:t>
      </w:r>
    </w:p>
    <w:p w:rsidR="00E51782" w:rsidRDefault="00E51782" w:rsidP="00F90FE4">
      <w:pPr>
        <w:pStyle w:val="a4"/>
        <w:numPr>
          <w:ilvl w:val="0"/>
          <w:numId w:val="5"/>
        </w:numPr>
        <w:tabs>
          <w:tab w:val="left" w:pos="993"/>
        </w:tabs>
        <w:spacing w:after="0" w:line="360" w:lineRule="auto"/>
        <w:ind w:left="0" w:firstLine="709"/>
        <w:jc w:val="both"/>
        <w:rPr>
          <w:rFonts w:ascii="Times New Roman" w:hAnsi="Times New Roman" w:cs="Times New Roman"/>
          <w:sz w:val="24"/>
          <w:szCs w:val="24"/>
        </w:rPr>
      </w:pPr>
      <w:r w:rsidRPr="00E51782">
        <w:rPr>
          <w:rFonts w:ascii="Times New Roman" w:hAnsi="Times New Roman" w:cs="Times New Roman"/>
          <w:sz w:val="24"/>
          <w:szCs w:val="24"/>
        </w:rPr>
        <w:t xml:space="preserve">производством молока, мяса, куриных яиц занимается </w:t>
      </w:r>
      <w:r>
        <w:rPr>
          <w:rFonts w:ascii="Times New Roman" w:hAnsi="Times New Roman" w:cs="Times New Roman"/>
          <w:sz w:val="24"/>
          <w:szCs w:val="24"/>
        </w:rPr>
        <w:t>ООО «СП «Белоярское»</w:t>
      </w:r>
      <w:r w:rsidRPr="00E51782">
        <w:rPr>
          <w:rFonts w:ascii="Times New Roman" w:hAnsi="Times New Roman" w:cs="Times New Roman"/>
          <w:sz w:val="24"/>
          <w:szCs w:val="24"/>
        </w:rPr>
        <w:t xml:space="preserve"> и 9 крестьянских (фермерских) хозяйств;</w:t>
      </w:r>
    </w:p>
    <w:p w:rsidR="00E51782" w:rsidRDefault="00E51782" w:rsidP="00F90FE4">
      <w:pPr>
        <w:pStyle w:val="a4"/>
        <w:numPr>
          <w:ilvl w:val="0"/>
          <w:numId w:val="5"/>
        </w:numPr>
        <w:tabs>
          <w:tab w:val="left" w:pos="993"/>
        </w:tabs>
        <w:spacing w:after="0" w:line="360" w:lineRule="auto"/>
        <w:ind w:left="0" w:firstLine="709"/>
        <w:jc w:val="both"/>
        <w:rPr>
          <w:rFonts w:ascii="Times New Roman" w:hAnsi="Times New Roman" w:cs="Times New Roman"/>
          <w:sz w:val="24"/>
          <w:szCs w:val="24"/>
        </w:rPr>
      </w:pPr>
      <w:r w:rsidRPr="00E51782">
        <w:rPr>
          <w:rFonts w:ascii="Times New Roman" w:hAnsi="Times New Roman" w:cs="Times New Roman"/>
          <w:sz w:val="24"/>
          <w:szCs w:val="24"/>
        </w:rPr>
        <w:t xml:space="preserve">добычей (выловом) и переработкой рыбы занимается 8 предприятий, в том числе    3 индивидуальных предпринимателя, 1 </w:t>
      </w:r>
      <w:r>
        <w:rPr>
          <w:rFonts w:ascii="Times New Roman" w:hAnsi="Times New Roman" w:cs="Times New Roman"/>
          <w:sz w:val="24"/>
          <w:szCs w:val="24"/>
        </w:rPr>
        <w:t>крестьянское (фермерское) хозяйство;</w:t>
      </w:r>
    </w:p>
    <w:p w:rsidR="00E51782" w:rsidRPr="00E51782" w:rsidRDefault="00E51782" w:rsidP="00F90FE4">
      <w:pPr>
        <w:pStyle w:val="a4"/>
        <w:numPr>
          <w:ilvl w:val="0"/>
          <w:numId w:val="5"/>
        </w:numPr>
        <w:tabs>
          <w:tab w:val="left" w:pos="993"/>
        </w:tabs>
        <w:spacing w:after="0" w:line="360" w:lineRule="auto"/>
        <w:ind w:left="0" w:firstLine="709"/>
        <w:jc w:val="both"/>
        <w:rPr>
          <w:rFonts w:ascii="Times New Roman" w:hAnsi="Times New Roman" w:cs="Times New Roman"/>
          <w:sz w:val="24"/>
          <w:szCs w:val="24"/>
        </w:rPr>
      </w:pPr>
      <w:r w:rsidRPr="00E51782">
        <w:rPr>
          <w:rFonts w:ascii="Times New Roman" w:hAnsi="Times New Roman" w:cs="Times New Roman"/>
          <w:sz w:val="24"/>
          <w:szCs w:val="24"/>
        </w:rPr>
        <w:t xml:space="preserve">производством овощей в </w:t>
      </w:r>
      <w:r>
        <w:rPr>
          <w:rFonts w:ascii="Times New Roman" w:hAnsi="Times New Roman" w:cs="Times New Roman"/>
          <w:sz w:val="24"/>
          <w:szCs w:val="24"/>
        </w:rPr>
        <w:t>закрытом грунте и картофелем</w:t>
      </w:r>
      <w:r w:rsidRPr="00E51782">
        <w:rPr>
          <w:rFonts w:ascii="Times New Roman" w:hAnsi="Times New Roman" w:cs="Times New Roman"/>
          <w:sz w:val="24"/>
          <w:szCs w:val="24"/>
        </w:rPr>
        <w:t xml:space="preserve"> занима</w:t>
      </w:r>
      <w:r>
        <w:rPr>
          <w:rFonts w:ascii="Times New Roman" w:hAnsi="Times New Roman" w:cs="Times New Roman"/>
          <w:sz w:val="24"/>
          <w:szCs w:val="24"/>
        </w:rPr>
        <w:t>ю</w:t>
      </w:r>
      <w:r w:rsidRPr="00E51782">
        <w:rPr>
          <w:rFonts w:ascii="Times New Roman" w:hAnsi="Times New Roman" w:cs="Times New Roman"/>
          <w:sz w:val="24"/>
          <w:szCs w:val="24"/>
        </w:rPr>
        <w:t xml:space="preserve">тся </w:t>
      </w:r>
      <w:r>
        <w:rPr>
          <w:rFonts w:ascii="Times New Roman" w:hAnsi="Times New Roman" w:cs="Times New Roman"/>
          <w:sz w:val="24"/>
          <w:szCs w:val="24"/>
        </w:rPr>
        <w:t>2</w:t>
      </w:r>
      <w:r w:rsidRPr="00E51782">
        <w:rPr>
          <w:rFonts w:ascii="Times New Roman" w:hAnsi="Times New Roman" w:cs="Times New Roman"/>
          <w:sz w:val="24"/>
          <w:szCs w:val="24"/>
        </w:rPr>
        <w:t xml:space="preserve"> крестьянских (фермерских) хозяйства.</w:t>
      </w:r>
    </w:p>
    <w:p w:rsidR="00E51782" w:rsidRPr="00E51782" w:rsidRDefault="00E51782" w:rsidP="00F90FE4">
      <w:pPr>
        <w:spacing w:after="0" w:line="360" w:lineRule="auto"/>
        <w:ind w:firstLine="708"/>
        <w:jc w:val="both"/>
        <w:rPr>
          <w:rFonts w:ascii="Times New Roman" w:hAnsi="Times New Roman" w:cs="Times New Roman"/>
          <w:sz w:val="24"/>
          <w:szCs w:val="24"/>
        </w:rPr>
      </w:pPr>
      <w:r w:rsidRPr="00E51782">
        <w:rPr>
          <w:rFonts w:ascii="Times New Roman" w:hAnsi="Times New Roman" w:cs="Times New Roman"/>
          <w:sz w:val="24"/>
          <w:szCs w:val="24"/>
        </w:rPr>
        <w:t xml:space="preserve">Доля предприятий с участием государственных и муниципальных органов власти составляет 1 % от общего числа действующих хозяйствующих предприятий. </w:t>
      </w:r>
    </w:p>
    <w:p w:rsidR="00E51782" w:rsidRDefault="00E51782" w:rsidP="00F90FE4">
      <w:pPr>
        <w:spacing w:after="0" w:line="360" w:lineRule="auto"/>
        <w:ind w:firstLine="708"/>
        <w:jc w:val="both"/>
        <w:rPr>
          <w:rFonts w:ascii="Times New Roman" w:hAnsi="Times New Roman" w:cs="Times New Roman"/>
          <w:sz w:val="24"/>
          <w:szCs w:val="24"/>
        </w:rPr>
      </w:pPr>
      <w:r w:rsidRPr="00E51782">
        <w:rPr>
          <w:rFonts w:ascii="Times New Roman" w:hAnsi="Times New Roman" w:cs="Times New Roman"/>
          <w:sz w:val="24"/>
          <w:szCs w:val="24"/>
        </w:rPr>
        <w:t>В течение 2017 год</w:t>
      </w:r>
      <w:r>
        <w:rPr>
          <w:rFonts w:ascii="Times New Roman" w:hAnsi="Times New Roman" w:cs="Times New Roman"/>
          <w:sz w:val="24"/>
          <w:szCs w:val="24"/>
        </w:rPr>
        <w:t>а</w:t>
      </w:r>
      <w:r w:rsidRPr="00E51782">
        <w:rPr>
          <w:rFonts w:ascii="Times New Roman" w:hAnsi="Times New Roman" w:cs="Times New Roman"/>
          <w:sz w:val="24"/>
          <w:szCs w:val="24"/>
        </w:rPr>
        <w:t xml:space="preserve"> в рамках реализации отдельного государственного полномочия по поддержке сельскохозяйственного производства, ожидаемый объём выплаченных субсидий составит 62,15 млн. рублей. Показатели объёма предоставленной государственной поддержки сельскохозяйственного производства за последние </w:t>
      </w:r>
      <w:r>
        <w:rPr>
          <w:rFonts w:ascii="Times New Roman" w:hAnsi="Times New Roman" w:cs="Times New Roman"/>
          <w:sz w:val="24"/>
          <w:szCs w:val="24"/>
        </w:rPr>
        <w:t>10</w:t>
      </w:r>
      <w:r w:rsidRPr="00E51782">
        <w:rPr>
          <w:rFonts w:ascii="Times New Roman" w:hAnsi="Times New Roman" w:cs="Times New Roman"/>
          <w:sz w:val="24"/>
          <w:szCs w:val="24"/>
        </w:rPr>
        <w:t xml:space="preserve"> лет в динамике представлены в табличной форме</w:t>
      </w:r>
      <w:r>
        <w:rPr>
          <w:rFonts w:ascii="Times New Roman" w:hAnsi="Times New Roman" w:cs="Times New Roman"/>
          <w:sz w:val="24"/>
          <w:szCs w:val="24"/>
        </w:rPr>
        <w:t>:</w:t>
      </w:r>
    </w:p>
    <w:p w:rsidR="00AA47A8" w:rsidRDefault="00AA47A8" w:rsidP="00F90FE4">
      <w:pPr>
        <w:spacing w:after="0" w:line="36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Таблица 1 </w:t>
      </w:r>
    </w:p>
    <w:p w:rsidR="00AA47A8" w:rsidRPr="00E51782" w:rsidRDefault="00E51782" w:rsidP="00F90FE4">
      <w:pPr>
        <w:spacing w:after="0" w:line="360" w:lineRule="auto"/>
        <w:jc w:val="center"/>
        <w:rPr>
          <w:rFonts w:ascii="Times New Roman" w:hAnsi="Times New Roman" w:cs="Times New Roman"/>
          <w:sz w:val="24"/>
          <w:szCs w:val="24"/>
        </w:rPr>
      </w:pPr>
      <w:r w:rsidRPr="00E51782">
        <w:rPr>
          <w:rFonts w:ascii="Times New Roman" w:hAnsi="Times New Roman" w:cs="Times New Roman"/>
          <w:sz w:val="24"/>
          <w:szCs w:val="24"/>
        </w:rPr>
        <w:t xml:space="preserve"> </w:t>
      </w:r>
      <w:r w:rsidR="00AA47A8" w:rsidRPr="00E51782">
        <w:rPr>
          <w:rFonts w:ascii="Times New Roman" w:hAnsi="Times New Roman" w:cs="Times New Roman"/>
          <w:sz w:val="24"/>
          <w:szCs w:val="24"/>
        </w:rPr>
        <w:t>Объём субсидирования агропромышленного комплекса на территории Белоярского района в динамике  с 2007 года по 2017 год.</w:t>
      </w:r>
    </w:p>
    <w:p w:rsidR="00E51782" w:rsidRDefault="00AA47A8" w:rsidP="00AA47A8">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млн. руб.</w:t>
      </w: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708"/>
        <w:gridCol w:w="710"/>
        <w:gridCol w:w="710"/>
        <w:gridCol w:w="708"/>
        <w:gridCol w:w="710"/>
        <w:gridCol w:w="850"/>
        <w:gridCol w:w="854"/>
        <w:gridCol w:w="708"/>
        <w:gridCol w:w="793"/>
        <w:gridCol w:w="764"/>
        <w:gridCol w:w="815"/>
      </w:tblGrid>
      <w:tr w:rsidR="00AD1FEC" w:rsidRPr="00AD1FEC" w:rsidTr="00AD1FEC">
        <w:trPr>
          <w:trHeight w:val="1562"/>
        </w:trPr>
        <w:tc>
          <w:tcPr>
            <w:tcW w:w="727" w:type="pct"/>
          </w:tcPr>
          <w:p w:rsidR="00E51782" w:rsidRPr="00AD1FEC" w:rsidRDefault="00E51782" w:rsidP="00E51782">
            <w:pPr>
              <w:jc w:val="center"/>
              <w:rPr>
                <w:rFonts w:ascii="Times New Roman" w:hAnsi="Times New Roman" w:cs="Times New Roman"/>
              </w:rPr>
            </w:pPr>
            <w:proofErr w:type="spellStart"/>
            <w:proofErr w:type="gramStart"/>
            <w:r w:rsidRPr="00AD1FEC">
              <w:rPr>
                <w:rFonts w:ascii="Times New Roman" w:hAnsi="Times New Roman" w:cs="Times New Roman"/>
              </w:rPr>
              <w:t>Наимено</w:t>
            </w:r>
            <w:r w:rsidR="00AD1FEC" w:rsidRPr="00AD1FEC">
              <w:rPr>
                <w:rFonts w:ascii="Times New Roman" w:hAnsi="Times New Roman" w:cs="Times New Roman"/>
              </w:rPr>
              <w:t>-</w:t>
            </w:r>
            <w:r w:rsidRPr="00AD1FEC">
              <w:rPr>
                <w:rFonts w:ascii="Times New Roman" w:hAnsi="Times New Roman" w:cs="Times New Roman"/>
              </w:rPr>
              <w:t>вание</w:t>
            </w:r>
            <w:proofErr w:type="spellEnd"/>
            <w:proofErr w:type="gramEnd"/>
            <w:r w:rsidRPr="00AD1FEC">
              <w:rPr>
                <w:rFonts w:ascii="Times New Roman" w:hAnsi="Times New Roman" w:cs="Times New Roman"/>
              </w:rPr>
              <w:t xml:space="preserve"> источника </w:t>
            </w:r>
            <w:proofErr w:type="spellStart"/>
            <w:r w:rsidRPr="00AD1FEC">
              <w:rPr>
                <w:rFonts w:ascii="Times New Roman" w:hAnsi="Times New Roman" w:cs="Times New Roman"/>
              </w:rPr>
              <w:t>финанси</w:t>
            </w:r>
            <w:r w:rsidR="00AD1FEC" w:rsidRPr="00AD1FEC">
              <w:rPr>
                <w:rFonts w:ascii="Times New Roman" w:hAnsi="Times New Roman" w:cs="Times New Roman"/>
              </w:rPr>
              <w:t>-</w:t>
            </w:r>
            <w:r w:rsidRPr="00AD1FEC">
              <w:rPr>
                <w:rFonts w:ascii="Times New Roman" w:hAnsi="Times New Roman" w:cs="Times New Roman"/>
              </w:rPr>
              <w:t>рования</w:t>
            </w:r>
            <w:proofErr w:type="spellEnd"/>
          </w:p>
        </w:tc>
        <w:tc>
          <w:tcPr>
            <w:tcW w:w="363" w:type="pct"/>
          </w:tcPr>
          <w:p w:rsidR="00E51782" w:rsidRPr="00AD1FEC" w:rsidRDefault="00E51782" w:rsidP="00AD1FEC">
            <w:pPr>
              <w:jc w:val="center"/>
              <w:rPr>
                <w:rFonts w:ascii="Times New Roman" w:hAnsi="Times New Roman" w:cs="Times New Roman"/>
              </w:rPr>
            </w:pPr>
            <w:r w:rsidRPr="00AD1FEC">
              <w:rPr>
                <w:rFonts w:ascii="Times New Roman" w:hAnsi="Times New Roman" w:cs="Times New Roman"/>
              </w:rPr>
              <w:t xml:space="preserve">2007 </w:t>
            </w:r>
            <w:r w:rsidR="00AD1FEC" w:rsidRPr="00AD1FEC">
              <w:rPr>
                <w:rFonts w:ascii="Times New Roman" w:hAnsi="Times New Roman" w:cs="Times New Roman"/>
              </w:rPr>
              <w:t>год</w:t>
            </w:r>
          </w:p>
        </w:tc>
        <w:tc>
          <w:tcPr>
            <w:tcW w:w="364" w:type="pct"/>
          </w:tcPr>
          <w:p w:rsidR="00E51782" w:rsidRPr="00AD1FEC" w:rsidRDefault="00E51782" w:rsidP="00AD1FEC">
            <w:pPr>
              <w:jc w:val="center"/>
              <w:rPr>
                <w:rFonts w:ascii="Times New Roman" w:hAnsi="Times New Roman" w:cs="Times New Roman"/>
              </w:rPr>
            </w:pPr>
            <w:r w:rsidRPr="00AD1FEC">
              <w:rPr>
                <w:rFonts w:ascii="Times New Roman" w:hAnsi="Times New Roman" w:cs="Times New Roman"/>
              </w:rPr>
              <w:t>2008 г</w:t>
            </w:r>
            <w:r w:rsidR="00AD1FEC" w:rsidRPr="00AD1FEC">
              <w:rPr>
                <w:rFonts w:ascii="Times New Roman" w:hAnsi="Times New Roman" w:cs="Times New Roman"/>
              </w:rPr>
              <w:t>од</w:t>
            </w:r>
          </w:p>
        </w:tc>
        <w:tc>
          <w:tcPr>
            <w:tcW w:w="364" w:type="pct"/>
          </w:tcPr>
          <w:p w:rsidR="00E51782" w:rsidRPr="00AD1FEC" w:rsidRDefault="00E51782" w:rsidP="00AD1FEC">
            <w:pPr>
              <w:jc w:val="center"/>
              <w:rPr>
                <w:rFonts w:ascii="Times New Roman" w:hAnsi="Times New Roman" w:cs="Times New Roman"/>
              </w:rPr>
            </w:pPr>
            <w:r w:rsidRPr="00AD1FEC">
              <w:rPr>
                <w:rFonts w:ascii="Times New Roman" w:hAnsi="Times New Roman" w:cs="Times New Roman"/>
              </w:rPr>
              <w:t>2009 г</w:t>
            </w:r>
            <w:r w:rsidR="00AD1FEC" w:rsidRPr="00AD1FEC">
              <w:rPr>
                <w:rFonts w:ascii="Times New Roman" w:hAnsi="Times New Roman" w:cs="Times New Roman"/>
              </w:rPr>
              <w:t>од</w:t>
            </w:r>
          </w:p>
        </w:tc>
        <w:tc>
          <w:tcPr>
            <w:tcW w:w="363" w:type="pct"/>
          </w:tcPr>
          <w:p w:rsidR="00E51782" w:rsidRPr="00AD1FEC" w:rsidRDefault="00E51782" w:rsidP="00AD1FEC">
            <w:pPr>
              <w:jc w:val="center"/>
              <w:rPr>
                <w:rFonts w:ascii="Times New Roman" w:hAnsi="Times New Roman" w:cs="Times New Roman"/>
              </w:rPr>
            </w:pPr>
            <w:r w:rsidRPr="00AD1FEC">
              <w:rPr>
                <w:rFonts w:ascii="Times New Roman" w:hAnsi="Times New Roman" w:cs="Times New Roman"/>
              </w:rPr>
              <w:t>2010 г</w:t>
            </w:r>
            <w:r w:rsidR="00AD1FEC" w:rsidRPr="00AD1FEC">
              <w:rPr>
                <w:rFonts w:ascii="Times New Roman" w:hAnsi="Times New Roman" w:cs="Times New Roman"/>
              </w:rPr>
              <w:t>од</w:t>
            </w:r>
          </w:p>
        </w:tc>
        <w:tc>
          <w:tcPr>
            <w:tcW w:w="364" w:type="pct"/>
          </w:tcPr>
          <w:p w:rsidR="00E51782" w:rsidRPr="00AD1FEC" w:rsidRDefault="00E51782" w:rsidP="00AD1FEC">
            <w:pPr>
              <w:jc w:val="center"/>
              <w:rPr>
                <w:rFonts w:ascii="Times New Roman" w:hAnsi="Times New Roman" w:cs="Times New Roman"/>
              </w:rPr>
            </w:pPr>
            <w:r w:rsidRPr="00AD1FEC">
              <w:rPr>
                <w:rFonts w:ascii="Times New Roman" w:hAnsi="Times New Roman" w:cs="Times New Roman"/>
              </w:rPr>
              <w:t>2011 г</w:t>
            </w:r>
            <w:r w:rsidR="00AD1FEC" w:rsidRPr="00AD1FEC">
              <w:rPr>
                <w:rFonts w:ascii="Times New Roman" w:hAnsi="Times New Roman" w:cs="Times New Roman"/>
              </w:rPr>
              <w:t>од</w:t>
            </w:r>
          </w:p>
        </w:tc>
        <w:tc>
          <w:tcPr>
            <w:tcW w:w="436" w:type="pct"/>
          </w:tcPr>
          <w:p w:rsidR="00E51782" w:rsidRPr="00AD1FEC" w:rsidRDefault="00E51782" w:rsidP="00AD1FEC">
            <w:pPr>
              <w:jc w:val="center"/>
              <w:rPr>
                <w:rFonts w:ascii="Times New Roman" w:hAnsi="Times New Roman" w:cs="Times New Roman"/>
              </w:rPr>
            </w:pPr>
            <w:r w:rsidRPr="00AD1FEC">
              <w:rPr>
                <w:rFonts w:ascii="Times New Roman" w:hAnsi="Times New Roman" w:cs="Times New Roman"/>
              </w:rPr>
              <w:t>2012 г</w:t>
            </w:r>
            <w:r w:rsidR="00AD1FEC" w:rsidRPr="00AD1FEC">
              <w:rPr>
                <w:rFonts w:ascii="Times New Roman" w:hAnsi="Times New Roman" w:cs="Times New Roman"/>
              </w:rPr>
              <w:t>од</w:t>
            </w:r>
          </w:p>
        </w:tc>
        <w:tc>
          <w:tcPr>
            <w:tcW w:w="438" w:type="pct"/>
          </w:tcPr>
          <w:p w:rsidR="00E51782" w:rsidRPr="00AD1FEC" w:rsidRDefault="00E51782" w:rsidP="00AD1FEC">
            <w:pPr>
              <w:jc w:val="center"/>
              <w:rPr>
                <w:rFonts w:ascii="Times New Roman" w:hAnsi="Times New Roman" w:cs="Times New Roman"/>
              </w:rPr>
            </w:pPr>
            <w:r w:rsidRPr="00AD1FEC">
              <w:rPr>
                <w:rFonts w:ascii="Times New Roman" w:hAnsi="Times New Roman" w:cs="Times New Roman"/>
              </w:rPr>
              <w:t>2013 г</w:t>
            </w:r>
            <w:r w:rsidR="00AD1FEC" w:rsidRPr="00AD1FEC">
              <w:rPr>
                <w:rFonts w:ascii="Times New Roman" w:hAnsi="Times New Roman" w:cs="Times New Roman"/>
              </w:rPr>
              <w:t>од</w:t>
            </w:r>
          </w:p>
        </w:tc>
        <w:tc>
          <w:tcPr>
            <w:tcW w:w="363" w:type="pct"/>
          </w:tcPr>
          <w:p w:rsidR="00E51782" w:rsidRPr="00AD1FEC" w:rsidRDefault="00E51782" w:rsidP="00AD1FEC">
            <w:pPr>
              <w:jc w:val="center"/>
              <w:rPr>
                <w:rFonts w:ascii="Times New Roman" w:hAnsi="Times New Roman" w:cs="Times New Roman"/>
              </w:rPr>
            </w:pPr>
            <w:r w:rsidRPr="00AD1FEC">
              <w:rPr>
                <w:rFonts w:ascii="Times New Roman" w:hAnsi="Times New Roman" w:cs="Times New Roman"/>
              </w:rPr>
              <w:t>2014 г</w:t>
            </w:r>
            <w:r w:rsidR="00AD1FEC" w:rsidRPr="00AD1FEC">
              <w:rPr>
                <w:rFonts w:ascii="Times New Roman" w:hAnsi="Times New Roman" w:cs="Times New Roman"/>
              </w:rPr>
              <w:t>од</w:t>
            </w:r>
          </w:p>
        </w:tc>
        <w:tc>
          <w:tcPr>
            <w:tcW w:w="407" w:type="pct"/>
          </w:tcPr>
          <w:p w:rsidR="00E51782" w:rsidRPr="00AD1FEC" w:rsidRDefault="00E51782" w:rsidP="00AD1FEC">
            <w:pPr>
              <w:jc w:val="center"/>
              <w:rPr>
                <w:rFonts w:ascii="Times New Roman" w:hAnsi="Times New Roman" w:cs="Times New Roman"/>
              </w:rPr>
            </w:pPr>
            <w:r w:rsidRPr="00AD1FEC">
              <w:rPr>
                <w:rFonts w:ascii="Times New Roman" w:hAnsi="Times New Roman" w:cs="Times New Roman"/>
              </w:rPr>
              <w:t>2015 г</w:t>
            </w:r>
            <w:r w:rsidR="00AD1FEC" w:rsidRPr="00AD1FEC">
              <w:rPr>
                <w:rFonts w:ascii="Times New Roman" w:hAnsi="Times New Roman" w:cs="Times New Roman"/>
              </w:rPr>
              <w:t>од</w:t>
            </w:r>
          </w:p>
          <w:p w:rsidR="00E51782" w:rsidRPr="00AD1FEC" w:rsidRDefault="00E51782" w:rsidP="00AD1FEC">
            <w:pPr>
              <w:jc w:val="center"/>
              <w:rPr>
                <w:rFonts w:ascii="Times New Roman" w:hAnsi="Times New Roman" w:cs="Times New Roman"/>
              </w:rPr>
            </w:pPr>
          </w:p>
        </w:tc>
        <w:tc>
          <w:tcPr>
            <w:tcW w:w="392" w:type="pct"/>
          </w:tcPr>
          <w:p w:rsidR="00E51782" w:rsidRPr="00AD1FEC" w:rsidRDefault="00E51782" w:rsidP="00AD1FEC">
            <w:pPr>
              <w:jc w:val="center"/>
              <w:rPr>
                <w:rFonts w:ascii="Times New Roman" w:hAnsi="Times New Roman" w:cs="Times New Roman"/>
              </w:rPr>
            </w:pPr>
            <w:r w:rsidRPr="00AD1FEC">
              <w:rPr>
                <w:rFonts w:ascii="Times New Roman" w:hAnsi="Times New Roman" w:cs="Times New Roman"/>
              </w:rPr>
              <w:t>20</w:t>
            </w:r>
            <w:r w:rsidR="00AD1FEC" w:rsidRPr="00AD1FEC">
              <w:rPr>
                <w:rFonts w:ascii="Times New Roman" w:hAnsi="Times New Roman" w:cs="Times New Roman"/>
              </w:rPr>
              <w:t>16 год</w:t>
            </w:r>
          </w:p>
          <w:p w:rsidR="00E51782" w:rsidRPr="00AD1FEC" w:rsidRDefault="00E51782" w:rsidP="00AD1FEC">
            <w:pPr>
              <w:jc w:val="center"/>
              <w:rPr>
                <w:rFonts w:ascii="Times New Roman" w:hAnsi="Times New Roman" w:cs="Times New Roman"/>
              </w:rPr>
            </w:pPr>
          </w:p>
        </w:tc>
        <w:tc>
          <w:tcPr>
            <w:tcW w:w="418" w:type="pct"/>
          </w:tcPr>
          <w:p w:rsidR="00E51782" w:rsidRPr="00AD1FEC" w:rsidRDefault="00E51782" w:rsidP="00AD1FEC">
            <w:pPr>
              <w:spacing w:after="0"/>
              <w:jc w:val="center"/>
              <w:rPr>
                <w:rFonts w:ascii="Times New Roman" w:hAnsi="Times New Roman" w:cs="Times New Roman"/>
              </w:rPr>
            </w:pPr>
            <w:r w:rsidRPr="00AD1FEC">
              <w:rPr>
                <w:rFonts w:ascii="Times New Roman" w:hAnsi="Times New Roman" w:cs="Times New Roman"/>
              </w:rPr>
              <w:t>2017 г</w:t>
            </w:r>
            <w:r w:rsidR="00AD1FEC" w:rsidRPr="00AD1FEC">
              <w:rPr>
                <w:rFonts w:ascii="Times New Roman" w:hAnsi="Times New Roman" w:cs="Times New Roman"/>
              </w:rPr>
              <w:t>од</w:t>
            </w:r>
          </w:p>
          <w:p w:rsidR="00E51782" w:rsidRPr="00AD1FEC" w:rsidRDefault="00E51782" w:rsidP="00AD1FEC">
            <w:pPr>
              <w:spacing w:after="0"/>
              <w:jc w:val="center"/>
              <w:rPr>
                <w:rFonts w:ascii="Times New Roman" w:hAnsi="Times New Roman" w:cs="Times New Roman"/>
              </w:rPr>
            </w:pPr>
            <w:r w:rsidRPr="00AD1FEC">
              <w:rPr>
                <w:rFonts w:ascii="Times New Roman" w:hAnsi="Times New Roman" w:cs="Times New Roman"/>
              </w:rPr>
              <w:t>10 мес</w:t>
            </w:r>
            <w:r w:rsidR="00AD1FEC" w:rsidRPr="00AD1FEC">
              <w:rPr>
                <w:rFonts w:ascii="Times New Roman" w:hAnsi="Times New Roman" w:cs="Times New Roman"/>
              </w:rPr>
              <w:t>.</w:t>
            </w:r>
          </w:p>
        </w:tc>
      </w:tr>
      <w:tr w:rsidR="00AD1FEC" w:rsidRPr="00AD1FEC" w:rsidTr="00AD1FEC">
        <w:tc>
          <w:tcPr>
            <w:tcW w:w="727" w:type="pct"/>
          </w:tcPr>
          <w:p w:rsidR="00E51782" w:rsidRPr="00AD1FEC" w:rsidRDefault="00E51782" w:rsidP="00AA47A8">
            <w:pPr>
              <w:spacing w:after="0"/>
              <w:jc w:val="center"/>
              <w:rPr>
                <w:rFonts w:ascii="Times New Roman" w:hAnsi="Times New Roman" w:cs="Times New Roman"/>
              </w:rPr>
            </w:pPr>
            <w:proofErr w:type="spellStart"/>
            <w:proofErr w:type="gramStart"/>
            <w:r w:rsidRPr="00AD1FEC">
              <w:rPr>
                <w:rFonts w:ascii="Times New Roman" w:hAnsi="Times New Roman" w:cs="Times New Roman"/>
              </w:rPr>
              <w:t>Федераль</w:t>
            </w:r>
            <w:proofErr w:type="spellEnd"/>
            <w:r w:rsidR="00AD1FEC" w:rsidRPr="00AD1FEC">
              <w:rPr>
                <w:rFonts w:ascii="Times New Roman" w:hAnsi="Times New Roman" w:cs="Times New Roman"/>
              </w:rPr>
              <w:t xml:space="preserve">- </w:t>
            </w:r>
            <w:proofErr w:type="spellStart"/>
            <w:r w:rsidR="00AD1FEC" w:rsidRPr="00AD1FEC">
              <w:rPr>
                <w:rFonts w:ascii="Times New Roman" w:hAnsi="Times New Roman" w:cs="Times New Roman"/>
              </w:rPr>
              <w:lastRenderedPageBreak/>
              <w:t>ный</w:t>
            </w:r>
            <w:proofErr w:type="spellEnd"/>
            <w:proofErr w:type="gramEnd"/>
            <w:r w:rsidR="00AD1FEC" w:rsidRPr="00AD1FEC">
              <w:rPr>
                <w:rFonts w:ascii="Times New Roman" w:hAnsi="Times New Roman" w:cs="Times New Roman"/>
              </w:rPr>
              <w:t xml:space="preserve"> бюджет</w:t>
            </w:r>
          </w:p>
        </w:tc>
        <w:tc>
          <w:tcPr>
            <w:tcW w:w="363" w:type="pct"/>
            <w:vAlign w:val="center"/>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lastRenderedPageBreak/>
              <w:t>1,47</w:t>
            </w:r>
          </w:p>
        </w:tc>
        <w:tc>
          <w:tcPr>
            <w:tcW w:w="364" w:type="pct"/>
            <w:vAlign w:val="center"/>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0,20</w:t>
            </w:r>
          </w:p>
        </w:tc>
        <w:tc>
          <w:tcPr>
            <w:tcW w:w="364" w:type="pct"/>
            <w:vAlign w:val="center"/>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0,69</w:t>
            </w:r>
          </w:p>
        </w:tc>
        <w:tc>
          <w:tcPr>
            <w:tcW w:w="363" w:type="pct"/>
            <w:vAlign w:val="center"/>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0,51</w:t>
            </w:r>
          </w:p>
        </w:tc>
        <w:tc>
          <w:tcPr>
            <w:tcW w:w="364" w:type="pct"/>
            <w:vAlign w:val="center"/>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2,83</w:t>
            </w:r>
          </w:p>
        </w:tc>
        <w:tc>
          <w:tcPr>
            <w:tcW w:w="436" w:type="pct"/>
            <w:vAlign w:val="center"/>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0,42</w:t>
            </w:r>
          </w:p>
        </w:tc>
        <w:tc>
          <w:tcPr>
            <w:tcW w:w="438" w:type="pct"/>
            <w:vAlign w:val="center"/>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1,90</w:t>
            </w:r>
          </w:p>
        </w:tc>
        <w:tc>
          <w:tcPr>
            <w:tcW w:w="363" w:type="pct"/>
            <w:vAlign w:val="center"/>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0,49</w:t>
            </w:r>
          </w:p>
        </w:tc>
        <w:tc>
          <w:tcPr>
            <w:tcW w:w="407" w:type="pct"/>
            <w:vAlign w:val="center"/>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1,49</w:t>
            </w:r>
          </w:p>
        </w:tc>
        <w:tc>
          <w:tcPr>
            <w:tcW w:w="392" w:type="pct"/>
            <w:vAlign w:val="center"/>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0,39</w:t>
            </w:r>
          </w:p>
        </w:tc>
        <w:tc>
          <w:tcPr>
            <w:tcW w:w="418" w:type="pct"/>
            <w:vAlign w:val="center"/>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1,71</w:t>
            </w:r>
          </w:p>
        </w:tc>
      </w:tr>
      <w:tr w:rsidR="00AD1FEC" w:rsidRPr="00AD1FEC" w:rsidTr="00AD1FEC">
        <w:tc>
          <w:tcPr>
            <w:tcW w:w="727" w:type="pct"/>
          </w:tcPr>
          <w:p w:rsidR="00E51782" w:rsidRPr="00AD1FEC" w:rsidRDefault="00E51782" w:rsidP="00AA47A8">
            <w:pPr>
              <w:spacing w:after="0"/>
              <w:jc w:val="center"/>
              <w:rPr>
                <w:rFonts w:ascii="Times New Roman" w:hAnsi="Times New Roman" w:cs="Times New Roman"/>
              </w:rPr>
            </w:pPr>
            <w:r w:rsidRPr="00AD1FEC">
              <w:rPr>
                <w:rFonts w:ascii="Times New Roman" w:hAnsi="Times New Roman" w:cs="Times New Roman"/>
              </w:rPr>
              <w:lastRenderedPageBreak/>
              <w:t xml:space="preserve">Бюджет </w:t>
            </w:r>
            <w:r w:rsidR="00AD1FEC" w:rsidRPr="00AD1FEC">
              <w:rPr>
                <w:rFonts w:ascii="Times New Roman" w:hAnsi="Times New Roman" w:cs="Times New Roman"/>
              </w:rPr>
              <w:t>ХМАО - Югры</w:t>
            </w:r>
            <w:r w:rsidRPr="00AD1FEC">
              <w:rPr>
                <w:rFonts w:ascii="Times New Roman" w:hAnsi="Times New Roman" w:cs="Times New Roman"/>
              </w:rPr>
              <w:t xml:space="preserve">, с учётом северного </w:t>
            </w:r>
            <w:proofErr w:type="gramStart"/>
            <w:r w:rsidRPr="00AD1FEC">
              <w:rPr>
                <w:rFonts w:ascii="Times New Roman" w:hAnsi="Times New Roman" w:cs="Times New Roman"/>
              </w:rPr>
              <w:t>олене</w:t>
            </w:r>
            <w:r w:rsidR="00AD1FEC" w:rsidRPr="00AD1FEC">
              <w:rPr>
                <w:rFonts w:ascii="Times New Roman" w:hAnsi="Times New Roman" w:cs="Times New Roman"/>
              </w:rPr>
              <w:t>-</w:t>
            </w:r>
            <w:proofErr w:type="spellStart"/>
            <w:r w:rsidRPr="00AD1FEC">
              <w:rPr>
                <w:rFonts w:ascii="Times New Roman" w:hAnsi="Times New Roman" w:cs="Times New Roman"/>
              </w:rPr>
              <w:t>водства</w:t>
            </w:r>
            <w:proofErr w:type="spellEnd"/>
            <w:proofErr w:type="gramEnd"/>
          </w:p>
        </w:tc>
        <w:tc>
          <w:tcPr>
            <w:tcW w:w="363" w:type="pct"/>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26,65</w:t>
            </w:r>
          </w:p>
        </w:tc>
        <w:tc>
          <w:tcPr>
            <w:tcW w:w="364" w:type="pct"/>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33,80</w:t>
            </w:r>
          </w:p>
        </w:tc>
        <w:tc>
          <w:tcPr>
            <w:tcW w:w="364" w:type="pct"/>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29,62</w:t>
            </w:r>
          </w:p>
        </w:tc>
        <w:tc>
          <w:tcPr>
            <w:tcW w:w="363" w:type="pct"/>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34,10</w:t>
            </w:r>
          </w:p>
        </w:tc>
        <w:tc>
          <w:tcPr>
            <w:tcW w:w="364" w:type="pct"/>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40,99</w:t>
            </w:r>
          </w:p>
        </w:tc>
        <w:tc>
          <w:tcPr>
            <w:tcW w:w="436" w:type="pct"/>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32,80</w:t>
            </w:r>
          </w:p>
        </w:tc>
        <w:tc>
          <w:tcPr>
            <w:tcW w:w="438" w:type="pct"/>
          </w:tcPr>
          <w:p w:rsidR="00E51782" w:rsidRPr="00AD1FEC" w:rsidRDefault="00E51782" w:rsidP="00AA47A8">
            <w:pPr>
              <w:spacing w:after="0"/>
              <w:jc w:val="center"/>
              <w:rPr>
                <w:rFonts w:ascii="Times New Roman" w:hAnsi="Times New Roman" w:cs="Times New Roman"/>
                <w:bCs/>
                <w:sz w:val="20"/>
                <w:szCs w:val="20"/>
              </w:rPr>
            </w:pPr>
            <w:r w:rsidRPr="00AD1FEC">
              <w:rPr>
                <w:rFonts w:ascii="Times New Roman" w:hAnsi="Times New Roman" w:cs="Times New Roman"/>
                <w:bCs/>
                <w:sz w:val="20"/>
                <w:szCs w:val="20"/>
              </w:rPr>
              <w:t>48,90</w:t>
            </w:r>
          </w:p>
          <w:p w:rsidR="00E51782" w:rsidRPr="00AD1FEC" w:rsidRDefault="00E51782" w:rsidP="00AA47A8">
            <w:pPr>
              <w:spacing w:after="0"/>
              <w:jc w:val="center"/>
              <w:rPr>
                <w:rFonts w:ascii="Times New Roman" w:hAnsi="Times New Roman" w:cs="Times New Roman"/>
                <w:sz w:val="20"/>
                <w:szCs w:val="20"/>
              </w:rPr>
            </w:pPr>
          </w:p>
        </w:tc>
        <w:tc>
          <w:tcPr>
            <w:tcW w:w="363" w:type="pct"/>
          </w:tcPr>
          <w:p w:rsidR="00E51782" w:rsidRPr="00AD1FEC" w:rsidRDefault="00E51782" w:rsidP="00AA47A8">
            <w:pPr>
              <w:spacing w:after="0"/>
              <w:jc w:val="center"/>
              <w:rPr>
                <w:rFonts w:ascii="Times New Roman" w:hAnsi="Times New Roman" w:cs="Times New Roman"/>
                <w:bCs/>
                <w:sz w:val="20"/>
                <w:szCs w:val="20"/>
              </w:rPr>
            </w:pPr>
            <w:r w:rsidRPr="00AD1FEC">
              <w:rPr>
                <w:rFonts w:ascii="Times New Roman" w:hAnsi="Times New Roman" w:cs="Times New Roman"/>
                <w:bCs/>
                <w:sz w:val="20"/>
                <w:szCs w:val="20"/>
              </w:rPr>
              <w:t>44,35</w:t>
            </w:r>
          </w:p>
          <w:p w:rsidR="00E51782" w:rsidRPr="00AD1FEC" w:rsidRDefault="00E51782" w:rsidP="00AA47A8">
            <w:pPr>
              <w:spacing w:after="0"/>
              <w:jc w:val="center"/>
              <w:rPr>
                <w:rFonts w:ascii="Times New Roman" w:hAnsi="Times New Roman" w:cs="Times New Roman"/>
                <w:sz w:val="20"/>
                <w:szCs w:val="20"/>
              </w:rPr>
            </w:pPr>
          </w:p>
        </w:tc>
        <w:tc>
          <w:tcPr>
            <w:tcW w:w="407" w:type="pct"/>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45,50</w:t>
            </w:r>
          </w:p>
          <w:p w:rsidR="00E51782" w:rsidRPr="00AD1FEC" w:rsidRDefault="00E51782" w:rsidP="00AA47A8">
            <w:pPr>
              <w:spacing w:after="0"/>
              <w:jc w:val="center"/>
              <w:rPr>
                <w:rFonts w:ascii="Times New Roman" w:hAnsi="Times New Roman" w:cs="Times New Roman"/>
                <w:sz w:val="20"/>
                <w:szCs w:val="20"/>
              </w:rPr>
            </w:pPr>
          </w:p>
        </w:tc>
        <w:tc>
          <w:tcPr>
            <w:tcW w:w="392" w:type="pct"/>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50,88</w:t>
            </w:r>
          </w:p>
          <w:p w:rsidR="00E51782" w:rsidRPr="00AD1FEC" w:rsidRDefault="00E51782" w:rsidP="00AA47A8">
            <w:pPr>
              <w:spacing w:after="0"/>
              <w:jc w:val="center"/>
              <w:rPr>
                <w:rFonts w:ascii="Times New Roman" w:hAnsi="Times New Roman" w:cs="Times New Roman"/>
                <w:sz w:val="20"/>
                <w:szCs w:val="20"/>
              </w:rPr>
            </w:pPr>
          </w:p>
        </w:tc>
        <w:tc>
          <w:tcPr>
            <w:tcW w:w="418" w:type="pct"/>
          </w:tcPr>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41,57</w:t>
            </w:r>
          </w:p>
          <w:p w:rsidR="00E51782" w:rsidRPr="00AD1FEC" w:rsidRDefault="00E51782" w:rsidP="00AA47A8">
            <w:pPr>
              <w:spacing w:after="0"/>
              <w:jc w:val="center"/>
              <w:rPr>
                <w:rFonts w:ascii="Times New Roman" w:hAnsi="Times New Roman" w:cs="Times New Roman"/>
                <w:sz w:val="20"/>
                <w:szCs w:val="20"/>
              </w:rPr>
            </w:pPr>
          </w:p>
        </w:tc>
      </w:tr>
      <w:tr w:rsidR="00AD1FEC" w:rsidRPr="00AD1FEC" w:rsidTr="00AD1FEC">
        <w:tc>
          <w:tcPr>
            <w:tcW w:w="727" w:type="pct"/>
          </w:tcPr>
          <w:p w:rsidR="00E51782" w:rsidRPr="00AD1FEC" w:rsidRDefault="00E51782" w:rsidP="00AA47A8">
            <w:pPr>
              <w:spacing w:after="0"/>
              <w:jc w:val="center"/>
              <w:rPr>
                <w:rFonts w:ascii="Times New Roman" w:hAnsi="Times New Roman" w:cs="Times New Roman"/>
              </w:rPr>
            </w:pPr>
            <w:r w:rsidRPr="00AD1FEC">
              <w:rPr>
                <w:rFonts w:ascii="Times New Roman" w:hAnsi="Times New Roman" w:cs="Times New Roman"/>
              </w:rPr>
              <w:t xml:space="preserve">Бюджет Тюменской области </w:t>
            </w:r>
          </w:p>
          <w:p w:rsidR="00E51782" w:rsidRPr="00AD1FEC" w:rsidRDefault="00E51782" w:rsidP="00AA47A8">
            <w:pPr>
              <w:spacing w:after="0"/>
              <w:jc w:val="center"/>
              <w:rPr>
                <w:rFonts w:ascii="Times New Roman" w:hAnsi="Times New Roman" w:cs="Times New Roman"/>
              </w:rPr>
            </w:pPr>
            <w:r w:rsidRPr="00AD1FEC">
              <w:rPr>
                <w:rFonts w:ascii="Times New Roman" w:hAnsi="Times New Roman" w:cs="Times New Roman"/>
              </w:rPr>
              <w:t>программа «Сотрудничество»</w:t>
            </w:r>
          </w:p>
        </w:tc>
        <w:tc>
          <w:tcPr>
            <w:tcW w:w="363"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w:t>
            </w:r>
          </w:p>
        </w:tc>
        <w:tc>
          <w:tcPr>
            <w:tcW w:w="364"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w:t>
            </w:r>
          </w:p>
        </w:tc>
        <w:tc>
          <w:tcPr>
            <w:tcW w:w="364"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w:t>
            </w:r>
          </w:p>
        </w:tc>
        <w:tc>
          <w:tcPr>
            <w:tcW w:w="363"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w:t>
            </w:r>
          </w:p>
        </w:tc>
        <w:tc>
          <w:tcPr>
            <w:tcW w:w="364"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w:t>
            </w:r>
          </w:p>
        </w:tc>
        <w:tc>
          <w:tcPr>
            <w:tcW w:w="436"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w:t>
            </w:r>
          </w:p>
        </w:tc>
        <w:tc>
          <w:tcPr>
            <w:tcW w:w="438"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27,00</w:t>
            </w:r>
          </w:p>
        </w:tc>
        <w:tc>
          <w:tcPr>
            <w:tcW w:w="363"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w:t>
            </w:r>
          </w:p>
          <w:p w:rsidR="00E51782" w:rsidRPr="00AD1FEC" w:rsidRDefault="00E51782" w:rsidP="00AA47A8">
            <w:pPr>
              <w:spacing w:after="0"/>
              <w:jc w:val="center"/>
              <w:rPr>
                <w:rFonts w:ascii="Times New Roman" w:hAnsi="Times New Roman" w:cs="Times New Roman"/>
                <w:sz w:val="20"/>
                <w:szCs w:val="20"/>
              </w:rPr>
            </w:pPr>
          </w:p>
        </w:tc>
        <w:tc>
          <w:tcPr>
            <w:tcW w:w="407"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w:t>
            </w:r>
          </w:p>
          <w:p w:rsidR="00E51782" w:rsidRPr="00AD1FEC" w:rsidRDefault="00E51782" w:rsidP="00AA47A8">
            <w:pPr>
              <w:spacing w:after="0"/>
              <w:jc w:val="center"/>
              <w:rPr>
                <w:rFonts w:ascii="Times New Roman" w:hAnsi="Times New Roman" w:cs="Times New Roman"/>
                <w:sz w:val="20"/>
                <w:szCs w:val="20"/>
              </w:rPr>
            </w:pPr>
          </w:p>
        </w:tc>
        <w:tc>
          <w:tcPr>
            <w:tcW w:w="392"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w:t>
            </w:r>
          </w:p>
          <w:p w:rsidR="00E51782" w:rsidRPr="00AD1FEC" w:rsidRDefault="00E51782" w:rsidP="00AA47A8">
            <w:pPr>
              <w:spacing w:after="0"/>
              <w:jc w:val="center"/>
              <w:rPr>
                <w:rFonts w:ascii="Times New Roman" w:hAnsi="Times New Roman" w:cs="Times New Roman"/>
                <w:sz w:val="20"/>
                <w:szCs w:val="20"/>
              </w:rPr>
            </w:pPr>
          </w:p>
        </w:tc>
        <w:tc>
          <w:tcPr>
            <w:tcW w:w="418"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w:t>
            </w:r>
          </w:p>
          <w:p w:rsidR="00E51782" w:rsidRPr="00AD1FEC" w:rsidRDefault="00E51782" w:rsidP="00AA47A8">
            <w:pPr>
              <w:spacing w:after="0"/>
              <w:jc w:val="center"/>
              <w:rPr>
                <w:rFonts w:ascii="Times New Roman" w:hAnsi="Times New Roman" w:cs="Times New Roman"/>
                <w:sz w:val="20"/>
                <w:szCs w:val="20"/>
              </w:rPr>
            </w:pPr>
          </w:p>
        </w:tc>
      </w:tr>
      <w:tr w:rsidR="00AD1FEC" w:rsidRPr="00AD1FEC" w:rsidTr="00AA47A8">
        <w:trPr>
          <w:trHeight w:val="975"/>
        </w:trPr>
        <w:tc>
          <w:tcPr>
            <w:tcW w:w="727" w:type="pct"/>
          </w:tcPr>
          <w:p w:rsidR="00E51782" w:rsidRPr="00AD1FEC" w:rsidRDefault="00E51782" w:rsidP="00AA47A8">
            <w:pPr>
              <w:spacing w:after="0"/>
              <w:jc w:val="center"/>
              <w:rPr>
                <w:rFonts w:ascii="Times New Roman" w:hAnsi="Times New Roman" w:cs="Times New Roman"/>
              </w:rPr>
            </w:pPr>
            <w:r w:rsidRPr="00AD1FEC">
              <w:rPr>
                <w:rFonts w:ascii="Times New Roman" w:hAnsi="Times New Roman" w:cs="Times New Roman"/>
              </w:rPr>
              <w:t xml:space="preserve">Бюджет </w:t>
            </w:r>
            <w:proofErr w:type="spellStart"/>
            <w:proofErr w:type="gramStart"/>
            <w:r w:rsidRPr="00AD1FEC">
              <w:rPr>
                <w:rFonts w:ascii="Times New Roman" w:hAnsi="Times New Roman" w:cs="Times New Roman"/>
              </w:rPr>
              <w:t>Белоярско</w:t>
            </w:r>
            <w:r w:rsidR="00AD1FEC" w:rsidRPr="00AD1FEC">
              <w:rPr>
                <w:rFonts w:ascii="Times New Roman" w:hAnsi="Times New Roman" w:cs="Times New Roman"/>
              </w:rPr>
              <w:t>-</w:t>
            </w:r>
            <w:r w:rsidRPr="00AD1FEC">
              <w:rPr>
                <w:rFonts w:ascii="Times New Roman" w:hAnsi="Times New Roman" w:cs="Times New Roman"/>
              </w:rPr>
              <w:t>го</w:t>
            </w:r>
            <w:proofErr w:type="spellEnd"/>
            <w:proofErr w:type="gramEnd"/>
            <w:r w:rsidRPr="00AD1FEC">
              <w:rPr>
                <w:rFonts w:ascii="Times New Roman" w:hAnsi="Times New Roman" w:cs="Times New Roman"/>
              </w:rPr>
              <w:t xml:space="preserve"> района</w:t>
            </w:r>
          </w:p>
        </w:tc>
        <w:tc>
          <w:tcPr>
            <w:tcW w:w="363"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3,32</w:t>
            </w:r>
          </w:p>
        </w:tc>
        <w:tc>
          <w:tcPr>
            <w:tcW w:w="364"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2,99</w:t>
            </w:r>
          </w:p>
        </w:tc>
        <w:tc>
          <w:tcPr>
            <w:tcW w:w="364"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3,11</w:t>
            </w:r>
          </w:p>
        </w:tc>
        <w:tc>
          <w:tcPr>
            <w:tcW w:w="363"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2,81</w:t>
            </w:r>
          </w:p>
        </w:tc>
        <w:tc>
          <w:tcPr>
            <w:tcW w:w="364"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6,98</w:t>
            </w:r>
          </w:p>
        </w:tc>
        <w:tc>
          <w:tcPr>
            <w:tcW w:w="436"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2,26</w:t>
            </w:r>
          </w:p>
        </w:tc>
        <w:tc>
          <w:tcPr>
            <w:tcW w:w="438" w:type="pct"/>
          </w:tcPr>
          <w:p w:rsidR="00E51782" w:rsidRPr="00AD1FEC" w:rsidRDefault="00E51782" w:rsidP="00AA47A8">
            <w:pPr>
              <w:spacing w:after="0"/>
              <w:jc w:val="center"/>
              <w:rPr>
                <w:rFonts w:ascii="Times New Roman" w:hAnsi="Times New Roman" w:cs="Times New Roman"/>
                <w:bCs/>
                <w:sz w:val="20"/>
                <w:szCs w:val="20"/>
              </w:rPr>
            </w:pPr>
          </w:p>
          <w:p w:rsidR="00E51782" w:rsidRPr="00AD1FEC" w:rsidRDefault="00E51782" w:rsidP="00AA47A8">
            <w:pPr>
              <w:spacing w:after="0"/>
              <w:jc w:val="center"/>
              <w:rPr>
                <w:rFonts w:ascii="Times New Roman" w:hAnsi="Times New Roman" w:cs="Times New Roman"/>
                <w:bCs/>
                <w:sz w:val="20"/>
                <w:szCs w:val="20"/>
              </w:rPr>
            </w:pPr>
            <w:r w:rsidRPr="00AD1FEC">
              <w:rPr>
                <w:rFonts w:ascii="Times New Roman" w:hAnsi="Times New Roman" w:cs="Times New Roman"/>
                <w:bCs/>
                <w:sz w:val="20"/>
                <w:szCs w:val="20"/>
              </w:rPr>
              <w:t>37,95</w:t>
            </w:r>
          </w:p>
          <w:p w:rsidR="00E51782" w:rsidRPr="00AD1FEC" w:rsidRDefault="00E51782" w:rsidP="00AA47A8">
            <w:pPr>
              <w:spacing w:after="0"/>
              <w:jc w:val="center"/>
              <w:rPr>
                <w:rFonts w:ascii="Times New Roman" w:hAnsi="Times New Roman" w:cs="Times New Roman"/>
                <w:sz w:val="20"/>
                <w:szCs w:val="20"/>
              </w:rPr>
            </w:pPr>
          </w:p>
        </w:tc>
        <w:tc>
          <w:tcPr>
            <w:tcW w:w="363"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17,62</w:t>
            </w:r>
          </w:p>
          <w:p w:rsidR="00E51782" w:rsidRPr="00AD1FEC" w:rsidRDefault="00E51782" w:rsidP="00AA47A8">
            <w:pPr>
              <w:spacing w:after="0"/>
              <w:jc w:val="center"/>
              <w:rPr>
                <w:rFonts w:ascii="Times New Roman" w:hAnsi="Times New Roman" w:cs="Times New Roman"/>
                <w:sz w:val="20"/>
                <w:szCs w:val="20"/>
              </w:rPr>
            </w:pPr>
          </w:p>
        </w:tc>
        <w:tc>
          <w:tcPr>
            <w:tcW w:w="407"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5,27</w:t>
            </w:r>
          </w:p>
        </w:tc>
        <w:tc>
          <w:tcPr>
            <w:tcW w:w="392"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12,34</w:t>
            </w:r>
          </w:p>
          <w:p w:rsidR="00E51782" w:rsidRPr="00AD1FEC" w:rsidRDefault="00E51782" w:rsidP="00AA47A8">
            <w:pPr>
              <w:spacing w:after="0"/>
              <w:jc w:val="center"/>
              <w:rPr>
                <w:rFonts w:ascii="Times New Roman" w:hAnsi="Times New Roman" w:cs="Times New Roman"/>
                <w:sz w:val="20"/>
                <w:szCs w:val="20"/>
              </w:rPr>
            </w:pPr>
          </w:p>
        </w:tc>
        <w:tc>
          <w:tcPr>
            <w:tcW w:w="418"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10,59</w:t>
            </w:r>
          </w:p>
          <w:p w:rsidR="00E51782" w:rsidRPr="00AD1FEC" w:rsidRDefault="00E51782" w:rsidP="00AA47A8">
            <w:pPr>
              <w:spacing w:after="0"/>
              <w:jc w:val="center"/>
              <w:rPr>
                <w:rFonts w:ascii="Times New Roman" w:hAnsi="Times New Roman" w:cs="Times New Roman"/>
                <w:sz w:val="20"/>
                <w:szCs w:val="20"/>
              </w:rPr>
            </w:pPr>
          </w:p>
        </w:tc>
      </w:tr>
      <w:tr w:rsidR="00AD1FEC" w:rsidRPr="00AD1FEC" w:rsidTr="00AD1FEC">
        <w:tc>
          <w:tcPr>
            <w:tcW w:w="727" w:type="pct"/>
          </w:tcPr>
          <w:p w:rsidR="00E51782" w:rsidRPr="00AD1FEC" w:rsidRDefault="00E51782" w:rsidP="00AA47A8">
            <w:pPr>
              <w:spacing w:after="0"/>
              <w:jc w:val="center"/>
              <w:rPr>
                <w:rFonts w:ascii="Times New Roman" w:hAnsi="Times New Roman" w:cs="Times New Roman"/>
              </w:rPr>
            </w:pPr>
            <w:r w:rsidRPr="00AD1FEC">
              <w:rPr>
                <w:rFonts w:ascii="Times New Roman" w:hAnsi="Times New Roman" w:cs="Times New Roman"/>
              </w:rPr>
              <w:t xml:space="preserve">Итого общий объём </w:t>
            </w:r>
            <w:proofErr w:type="spellStart"/>
            <w:proofErr w:type="gramStart"/>
            <w:r w:rsidRPr="00AD1FEC">
              <w:rPr>
                <w:rFonts w:ascii="Times New Roman" w:hAnsi="Times New Roman" w:cs="Times New Roman"/>
              </w:rPr>
              <w:t>финанси</w:t>
            </w:r>
            <w:r w:rsidR="00AD1FEC" w:rsidRPr="00AD1FEC">
              <w:rPr>
                <w:rFonts w:ascii="Times New Roman" w:hAnsi="Times New Roman" w:cs="Times New Roman"/>
              </w:rPr>
              <w:t>-</w:t>
            </w:r>
            <w:r w:rsidRPr="00AD1FEC">
              <w:rPr>
                <w:rFonts w:ascii="Times New Roman" w:hAnsi="Times New Roman" w:cs="Times New Roman"/>
              </w:rPr>
              <w:t>рования</w:t>
            </w:r>
            <w:proofErr w:type="spellEnd"/>
            <w:proofErr w:type="gramEnd"/>
            <w:r w:rsidRPr="00AD1FEC">
              <w:rPr>
                <w:rFonts w:ascii="Times New Roman" w:hAnsi="Times New Roman" w:cs="Times New Roman"/>
              </w:rPr>
              <w:t xml:space="preserve"> </w:t>
            </w:r>
          </w:p>
        </w:tc>
        <w:tc>
          <w:tcPr>
            <w:tcW w:w="363"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31,45</w:t>
            </w:r>
          </w:p>
        </w:tc>
        <w:tc>
          <w:tcPr>
            <w:tcW w:w="364"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36,99</w:t>
            </w:r>
          </w:p>
        </w:tc>
        <w:tc>
          <w:tcPr>
            <w:tcW w:w="364"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33,42</w:t>
            </w:r>
          </w:p>
        </w:tc>
        <w:tc>
          <w:tcPr>
            <w:tcW w:w="363"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37,42</w:t>
            </w:r>
          </w:p>
        </w:tc>
        <w:tc>
          <w:tcPr>
            <w:tcW w:w="364"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50,78</w:t>
            </w:r>
          </w:p>
        </w:tc>
        <w:tc>
          <w:tcPr>
            <w:tcW w:w="436"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35,48</w:t>
            </w:r>
          </w:p>
        </w:tc>
        <w:tc>
          <w:tcPr>
            <w:tcW w:w="438"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115,75</w:t>
            </w:r>
          </w:p>
        </w:tc>
        <w:tc>
          <w:tcPr>
            <w:tcW w:w="363"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62,46</w:t>
            </w:r>
          </w:p>
        </w:tc>
        <w:tc>
          <w:tcPr>
            <w:tcW w:w="407"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52,26</w:t>
            </w:r>
          </w:p>
        </w:tc>
        <w:tc>
          <w:tcPr>
            <w:tcW w:w="392"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63,61</w:t>
            </w:r>
          </w:p>
        </w:tc>
        <w:tc>
          <w:tcPr>
            <w:tcW w:w="418" w:type="pct"/>
          </w:tcPr>
          <w:p w:rsidR="00E51782" w:rsidRPr="00AD1FEC" w:rsidRDefault="00E51782" w:rsidP="00AA47A8">
            <w:pPr>
              <w:spacing w:after="0"/>
              <w:jc w:val="center"/>
              <w:rPr>
                <w:rFonts w:ascii="Times New Roman" w:hAnsi="Times New Roman" w:cs="Times New Roman"/>
                <w:sz w:val="20"/>
                <w:szCs w:val="20"/>
              </w:rPr>
            </w:pPr>
          </w:p>
          <w:p w:rsidR="00E51782" w:rsidRPr="00AD1FEC" w:rsidRDefault="00E51782" w:rsidP="00AA47A8">
            <w:pPr>
              <w:spacing w:after="0"/>
              <w:jc w:val="center"/>
              <w:rPr>
                <w:rFonts w:ascii="Times New Roman" w:hAnsi="Times New Roman" w:cs="Times New Roman"/>
                <w:sz w:val="20"/>
                <w:szCs w:val="20"/>
              </w:rPr>
            </w:pPr>
            <w:r w:rsidRPr="00AD1FEC">
              <w:rPr>
                <w:rFonts w:ascii="Times New Roman" w:hAnsi="Times New Roman" w:cs="Times New Roman"/>
                <w:sz w:val="20"/>
                <w:szCs w:val="20"/>
              </w:rPr>
              <w:t>53,87</w:t>
            </w:r>
          </w:p>
        </w:tc>
      </w:tr>
    </w:tbl>
    <w:p w:rsidR="00E51782" w:rsidRPr="00E51782" w:rsidRDefault="00E51782" w:rsidP="00E51782">
      <w:pPr>
        <w:spacing w:after="0" w:line="276" w:lineRule="auto"/>
        <w:jc w:val="both"/>
        <w:rPr>
          <w:rFonts w:ascii="Times New Roman" w:hAnsi="Times New Roman" w:cs="Times New Roman"/>
          <w:sz w:val="24"/>
          <w:szCs w:val="24"/>
        </w:rPr>
      </w:pPr>
    </w:p>
    <w:p w:rsidR="00E51782" w:rsidRPr="00E51782" w:rsidRDefault="00E51782" w:rsidP="00F90FE4">
      <w:pPr>
        <w:spacing w:after="0" w:line="360" w:lineRule="auto"/>
        <w:ind w:firstLine="708"/>
        <w:jc w:val="both"/>
        <w:rPr>
          <w:rFonts w:ascii="Times New Roman" w:hAnsi="Times New Roman" w:cs="Times New Roman"/>
          <w:sz w:val="24"/>
          <w:szCs w:val="24"/>
        </w:rPr>
      </w:pPr>
      <w:r w:rsidRPr="00E51782">
        <w:rPr>
          <w:rFonts w:ascii="Times New Roman" w:hAnsi="Times New Roman" w:cs="Times New Roman"/>
          <w:sz w:val="24"/>
          <w:szCs w:val="24"/>
        </w:rPr>
        <w:t xml:space="preserve">Характеризуя состояние конкуренции на рынке сельскохозяйственной </w:t>
      </w:r>
      <w:proofErr w:type="gramStart"/>
      <w:r w:rsidRPr="00E51782">
        <w:rPr>
          <w:rFonts w:ascii="Times New Roman" w:hAnsi="Times New Roman" w:cs="Times New Roman"/>
          <w:sz w:val="24"/>
          <w:szCs w:val="24"/>
        </w:rPr>
        <w:t>продукции,  сырья</w:t>
      </w:r>
      <w:proofErr w:type="gramEnd"/>
      <w:r w:rsidRPr="00E51782">
        <w:rPr>
          <w:rFonts w:ascii="Times New Roman" w:hAnsi="Times New Roman" w:cs="Times New Roman"/>
          <w:sz w:val="24"/>
          <w:szCs w:val="24"/>
        </w:rPr>
        <w:t xml:space="preserve"> и продовольствия необходимо отметить, что за счёт ввоза на территорию Белоярского района продукции агропромышленного комплекса из регионов</w:t>
      </w:r>
      <w:r w:rsidR="00AA47A8">
        <w:rPr>
          <w:rFonts w:ascii="Times New Roman" w:hAnsi="Times New Roman" w:cs="Times New Roman"/>
          <w:sz w:val="24"/>
          <w:szCs w:val="24"/>
        </w:rPr>
        <w:t>,</w:t>
      </w:r>
      <w:r w:rsidRPr="00E51782">
        <w:rPr>
          <w:rFonts w:ascii="Times New Roman" w:hAnsi="Times New Roman" w:cs="Times New Roman"/>
          <w:sz w:val="24"/>
          <w:szCs w:val="24"/>
        </w:rPr>
        <w:t xml:space="preserve"> имеющих более благоприятные природно-климатические условия, на территории муниципального образования </w:t>
      </w:r>
      <w:r w:rsidR="00AA47A8">
        <w:rPr>
          <w:rFonts w:ascii="Times New Roman" w:hAnsi="Times New Roman" w:cs="Times New Roman"/>
          <w:sz w:val="24"/>
          <w:szCs w:val="24"/>
        </w:rPr>
        <w:t xml:space="preserve">Белоярский район </w:t>
      </w:r>
      <w:r w:rsidRPr="00E51782">
        <w:rPr>
          <w:rFonts w:ascii="Times New Roman" w:hAnsi="Times New Roman" w:cs="Times New Roman"/>
          <w:sz w:val="24"/>
          <w:szCs w:val="24"/>
        </w:rPr>
        <w:t>имеется «рынок с развитой конкуренцией». В этих условиях  сельхозпроизводители обеспечивают рентабельность только за счёт государственной поддержки</w:t>
      </w:r>
      <w:r w:rsidR="00AA47A8">
        <w:rPr>
          <w:rFonts w:ascii="Times New Roman" w:hAnsi="Times New Roman" w:cs="Times New Roman"/>
          <w:sz w:val="24"/>
          <w:szCs w:val="24"/>
        </w:rPr>
        <w:t>,</w:t>
      </w:r>
      <w:r w:rsidRPr="00E51782">
        <w:rPr>
          <w:rFonts w:ascii="Times New Roman" w:hAnsi="Times New Roman" w:cs="Times New Roman"/>
          <w:sz w:val="24"/>
          <w:szCs w:val="24"/>
        </w:rPr>
        <w:t xml:space="preserve"> получаемой в виде субсидий. Наиболее высокая конкуренция на рынке производства пищевой рыбы и рыбной продукции, за счёт наличия на территории муниципального образования более одного миллиона гектаров водных угодий (рек, озёр). По этой же причине около половины доли рынка рыбной продукции из пресноводных видов рыбы, занимает «теневая» продукция. </w:t>
      </w:r>
    </w:p>
    <w:p w:rsidR="00E51782" w:rsidRPr="00E51782" w:rsidRDefault="00E51782" w:rsidP="006B5F5B">
      <w:pPr>
        <w:spacing w:after="0" w:line="360" w:lineRule="auto"/>
        <w:ind w:firstLine="708"/>
        <w:jc w:val="both"/>
        <w:rPr>
          <w:rFonts w:ascii="Times New Roman" w:hAnsi="Times New Roman" w:cs="Times New Roman"/>
          <w:sz w:val="24"/>
          <w:szCs w:val="24"/>
        </w:rPr>
      </w:pPr>
      <w:r w:rsidRPr="00E51782">
        <w:rPr>
          <w:rFonts w:ascii="Times New Roman" w:hAnsi="Times New Roman" w:cs="Times New Roman"/>
          <w:sz w:val="24"/>
          <w:szCs w:val="24"/>
        </w:rPr>
        <w:t>О мониторинге наличия административных барьеров. К числу факторов</w:t>
      </w:r>
      <w:r w:rsidR="00233CCF">
        <w:rPr>
          <w:rFonts w:ascii="Times New Roman" w:hAnsi="Times New Roman" w:cs="Times New Roman"/>
          <w:sz w:val="24"/>
          <w:szCs w:val="24"/>
        </w:rPr>
        <w:t>,</w:t>
      </w:r>
      <w:r w:rsidRPr="00E51782">
        <w:rPr>
          <w:rFonts w:ascii="Times New Roman" w:hAnsi="Times New Roman" w:cs="Times New Roman"/>
          <w:sz w:val="24"/>
          <w:szCs w:val="24"/>
        </w:rPr>
        <w:t xml:space="preserve"> ограничивающих конкуренцию предприятий сельскохозяйственного сектора экономики</w:t>
      </w:r>
      <w:r w:rsidR="00233CCF">
        <w:rPr>
          <w:rFonts w:ascii="Times New Roman" w:hAnsi="Times New Roman" w:cs="Times New Roman"/>
          <w:sz w:val="24"/>
          <w:szCs w:val="24"/>
        </w:rPr>
        <w:t>,</w:t>
      </w:r>
      <w:r w:rsidRPr="00E51782">
        <w:rPr>
          <w:rFonts w:ascii="Times New Roman" w:hAnsi="Times New Roman" w:cs="Times New Roman"/>
          <w:sz w:val="24"/>
          <w:szCs w:val="24"/>
        </w:rPr>
        <w:t xml:space="preserve"> являются административные барьеры. Исходя, из анализа обращений руководителей предприятий, необходимо выделить следующие проблемы</w:t>
      </w:r>
      <w:r w:rsidR="00233CCF">
        <w:rPr>
          <w:rFonts w:ascii="Times New Roman" w:hAnsi="Times New Roman" w:cs="Times New Roman"/>
          <w:sz w:val="24"/>
          <w:szCs w:val="24"/>
        </w:rPr>
        <w:t>,</w:t>
      </w:r>
      <w:r w:rsidRPr="00E51782">
        <w:rPr>
          <w:rFonts w:ascii="Times New Roman" w:hAnsi="Times New Roman" w:cs="Times New Roman"/>
          <w:sz w:val="24"/>
          <w:szCs w:val="24"/>
        </w:rPr>
        <w:t xml:space="preserve"> сдерживающие дальнейшее развитие:</w:t>
      </w:r>
    </w:p>
    <w:p w:rsidR="00E51782" w:rsidRPr="00E51782" w:rsidRDefault="00E51782" w:rsidP="006B5F5B">
      <w:pPr>
        <w:numPr>
          <w:ilvl w:val="0"/>
          <w:numId w:val="4"/>
        </w:numPr>
        <w:tabs>
          <w:tab w:val="left" w:pos="993"/>
        </w:tabs>
        <w:spacing w:after="0" w:line="360" w:lineRule="auto"/>
        <w:ind w:left="0" w:firstLine="708"/>
        <w:jc w:val="both"/>
        <w:rPr>
          <w:rFonts w:ascii="Times New Roman" w:hAnsi="Times New Roman" w:cs="Times New Roman"/>
          <w:sz w:val="24"/>
          <w:szCs w:val="24"/>
        </w:rPr>
      </w:pPr>
      <w:r w:rsidRPr="00E51782">
        <w:rPr>
          <w:rFonts w:ascii="Times New Roman" w:hAnsi="Times New Roman" w:cs="Times New Roman"/>
          <w:sz w:val="24"/>
          <w:szCs w:val="24"/>
        </w:rPr>
        <w:t xml:space="preserve">Наличие частых проверок со стороны контролирующих органов. В течение </w:t>
      </w:r>
      <w:r w:rsidR="00AA47A8">
        <w:rPr>
          <w:rFonts w:ascii="Times New Roman" w:hAnsi="Times New Roman" w:cs="Times New Roman"/>
          <w:sz w:val="24"/>
          <w:szCs w:val="24"/>
        </w:rPr>
        <w:t>3</w:t>
      </w:r>
      <w:r w:rsidRPr="00E51782">
        <w:rPr>
          <w:rFonts w:ascii="Times New Roman" w:hAnsi="Times New Roman" w:cs="Times New Roman"/>
          <w:sz w:val="24"/>
          <w:szCs w:val="24"/>
        </w:rPr>
        <w:t xml:space="preserve"> последних лет, на территории района прекратили заниматься производством свинины </w:t>
      </w:r>
      <w:r w:rsidR="00AA47A8">
        <w:rPr>
          <w:rFonts w:ascii="Times New Roman" w:hAnsi="Times New Roman" w:cs="Times New Roman"/>
          <w:sz w:val="24"/>
          <w:szCs w:val="24"/>
        </w:rPr>
        <w:t xml:space="preserve">3 </w:t>
      </w:r>
      <w:r w:rsidRPr="00E51782">
        <w:rPr>
          <w:rFonts w:ascii="Times New Roman" w:hAnsi="Times New Roman" w:cs="Times New Roman"/>
          <w:sz w:val="24"/>
          <w:szCs w:val="24"/>
        </w:rPr>
        <w:t>крес</w:t>
      </w:r>
      <w:r w:rsidR="00AA47A8">
        <w:rPr>
          <w:rFonts w:ascii="Times New Roman" w:hAnsi="Times New Roman" w:cs="Times New Roman"/>
          <w:sz w:val="24"/>
          <w:szCs w:val="24"/>
        </w:rPr>
        <w:t>тьянских (фермерских) хозяйства</w:t>
      </w:r>
      <w:r w:rsidRPr="00E51782">
        <w:rPr>
          <w:rFonts w:ascii="Times New Roman" w:hAnsi="Times New Roman" w:cs="Times New Roman"/>
          <w:sz w:val="24"/>
          <w:szCs w:val="24"/>
        </w:rPr>
        <w:t>.</w:t>
      </w:r>
    </w:p>
    <w:p w:rsidR="00E51782" w:rsidRPr="00E51782" w:rsidRDefault="00E51782" w:rsidP="00F90FE4">
      <w:pPr>
        <w:numPr>
          <w:ilvl w:val="0"/>
          <w:numId w:val="4"/>
        </w:numPr>
        <w:tabs>
          <w:tab w:val="left" w:pos="993"/>
        </w:tabs>
        <w:autoSpaceDE w:val="0"/>
        <w:autoSpaceDN w:val="0"/>
        <w:adjustRightInd w:val="0"/>
        <w:spacing w:after="0" w:line="360" w:lineRule="auto"/>
        <w:ind w:left="0" w:firstLine="708"/>
        <w:jc w:val="both"/>
        <w:rPr>
          <w:rFonts w:ascii="Times New Roman" w:hAnsi="Times New Roman" w:cs="Times New Roman"/>
          <w:sz w:val="24"/>
          <w:szCs w:val="24"/>
        </w:rPr>
      </w:pPr>
      <w:r w:rsidRPr="00E51782">
        <w:rPr>
          <w:rFonts w:ascii="Times New Roman" w:hAnsi="Times New Roman" w:cs="Times New Roman"/>
          <w:sz w:val="24"/>
          <w:szCs w:val="24"/>
        </w:rPr>
        <w:lastRenderedPageBreak/>
        <w:t>Нестабильность законодательства регулирующего предпринимательскую деятельность.  Так</w:t>
      </w:r>
      <w:r w:rsidR="00AA47A8">
        <w:rPr>
          <w:rFonts w:ascii="Times New Roman" w:hAnsi="Times New Roman" w:cs="Times New Roman"/>
          <w:sz w:val="24"/>
          <w:szCs w:val="24"/>
        </w:rPr>
        <w:t>,</w:t>
      </w:r>
      <w:r w:rsidRPr="00E51782">
        <w:rPr>
          <w:rFonts w:ascii="Times New Roman" w:hAnsi="Times New Roman" w:cs="Times New Roman"/>
          <w:sz w:val="24"/>
          <w:szCs w:val="24"/>
        </w:rPr>
        <w:t xml:space="preserve"> в государственную </w:t>
      </w:r>
      <w:hyperlink r:id="rId5" w:history="1">
        <w:r w:rsidRPr="00E51782">
          <w:rPr>
            <w:rFonts w:ascii="Times New Roman" w:hAnsi="Times New Roman" w:cs="Times New Roman"/>
            <w:sz w:val="24"/>
            <w:szCs w:val="24"/>
          </w:rPr>
          <w:t>программу</w:t>
        </w:r>
      </w:hyperlink>
      <w:r w:rsidRPr="00E51782">
        <w:rPr>
          <w:rFonts w:ascii="Times New Roman" w:hAnsi="Times New Roman" w:cs="Times New Roman"/>
          <w:sz w:val="24"/>
          <w:szCs w:val="24"/>
        </w:rPr>
        <w:t xml:space="preserve">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на 2016 - 2020 годы», регулирующую вопросы меры господдержки агропромышленного комплекса, за период действия программы, с 2014 года, внесено </w:t>
      </w:r>
      <w:r w:rsidR="00AA47A8">
        <w:rPr>
          <w:rFonts w:ascii="Times New Roman" w:hAnsi="Times New Roman" w:cs="Times New Roman"/>
          <w:sz w:val="24"/>
          <w:szCs w:val="24"/>
        </w:rPr>
        <w:t>22</w:t>
      </w:r>
      <w:r w:rsidRPr="00E51782">
        <w:rPr>
          <w:rFonts w:ascii="Times New Roman" w:hAnsi="Times New Roman" w:cs="Times New Roman"/>
          <w:sz w:val="24"/>
          <w:szCs w:val="24"/>
        </w:rPr>
        <w:t xml:space="preserve"> изменения. Например, в результате этих изменений, уровень господдержки крестьянских (фермерских) оленеводческих хозяйств на территории Белоярского района сократился почти в </w:t>
      </w:r>
      <w:r w:rsidR="00233CCF">
        <w:rPr>
          <w:rFonts w:ascii="Times New Roman" w:hAnsi="Times New Roman" w:cs="Times New Roman"/>
          <w:sz w:val="24"/>
          <w:szCs w:val="24"/>
        </w:rPr>
        <w:t>д</w:t>
      </w:r>
      <w:r w:rsidR="00AA47A8" w:rsidRPr="00E51782">
        <w:rPr>
          <w:rFonts w:ascii="Times New Roman" w:hAnsi="Times New Roman" w:cs="Times New Roman"/>
          <w:sz w:val="24"/>
          <w:szCs w:val="24"/>
        </w:rPr>
        <w:t xml:space="preserve">ва </w:t>
      </w:r>
      <w:r w:rsidR="00233CCF">
        <w:rPr>
          <w:rFonts w:ascii="Times New Roman" w:hAnsi="Times New Roman" w:cs="Times New Roman"/>
          <w:sz w:val="24"/>
          <w:szCs w:val="24"/>
        </w:rPr>
        <w:t>раза, п</w:t>
      </w:r>
      <w:r w:rsidRPr="00E51782">
        <w:rPr>
          <w:rFonts w:ascii="Times New Roman" w:hAnsi="Times New Roman" w:cs="Times New Roman"/>
          <w:sz w:val="24"/>
          <w:szCs w:val="24"/>
        </w:rPr>
        <w:t xml:space="preserve">рекратился рост количества субъектов малого предпринимательства в северном оленеводстве. </w:t>
      </w:r>
    </w:p>
    <w:p w:rsidR="00E51782" w:rsidRPr="00E51782" w:rsidRDefault="00E51782" w:rsidP="00F90FE4">
      <w:pPr>
        <w:spacing w:after="0" w:line="360" w:lineRule="auto"/>
        <w:ind w:firstLine="708"/>
        <w:jc w:val="both"/>
        <w:rPr>
          <w:rFonts w:ascii="Times New Roman" w:hAnsi="Times New Roman" w:cs="Times New Roman"/>
          <w:sz w:val="24"/>
          <w:szCs w:val="24"/>
        </w:rPr>
      </w:pPr>
      <w:r w:rsidRPr="00E51782">
        <w:rPr>
          <w:rFonts w:ascii="Times New Roman" w:hAnsi="Times New Roman" w:cs="Times New Roman"/>
          <w:sz w:val="24"/>
          <w:szCs w:val="24"/>
        </w:rPr>
        <w:t xml:space="preserve">Анализируя результативность и эффективность деятельности органов местного самоуправления Белоярского района по содействию развитию конкуренции, отмечается положительная динамика производства сельскохозяйственной продукции. </w:t>
      </w:r>
    </w:p>
    <w:p w:rsidR="00E51782" w:rsidRPr="00E51782" w:rsidRDefault="00E51782" w:rsidP="00F90FE4">
      <w:pPr>
        <w:spacing w:after="0" w:line="360" w:lineRule="auto"/>
        <w:ind w:firstLine="708"/>
        <w:jc w:val="both"/>
        <w:rPr>
          <w:rFonts w:ascii="Times New Roman" w:hAnsi="Times New Roman" w:cs="Times New Roman"/>
          <w:sz w:val="24"/>
          <w:szCs w:val="24"/>
        </w:rPr>
      </w:pPr>
      <w:r w:rsidRPr="00E51782">
        <w:rPr>
          <w:rFonts w:ascii="Times New Roman" w:hAnsi="Times New Roman" w:cs="Times New Roman"/>
          <w:sz w:val="24"/>
          <w:szCs w:val="24"/>
        </w:rPr>
        <w:t xml:space="preserve">За десять месяцев </w:t>
      </w:r>
      <w:r w:rsidR="00AA47A8">
        <w:rPr>
          <w:rFonts w:ascii="Times New Roman" w:hAnsi="Times New Roman" w:cs="Times New Roman"/>
          <w:sz w:val="24"/>
          <w:szCs w:val="24"/>
        </w:rPr>
        <w:t>2017</w:t>
      </w:r>
      <w:r w:rsidRPr="00E51782">
        <w:rPr>
          <w:rFonts w:ascii="Times New Roman" w:hAnsi="Times New Roman" w:cs="Times New Roman"/>
          <w:sz w:val="24"/>
          <w:szCs w:val="24"/>
        </w:rPr>
        <w:t xml:space="preserve"> года к аналогичному периоду прошлого года выросло поголовье крупного рогатого скота, северных оленей. Сельскохозяйственные организации, фермерские хозяйства работают во всех населённых пунктах района, межсел</w:t>
      </w:r>
      <w:r w:rsidR="00AA47A8">
        <w:rPr>
          <w:rFonts w:ascii="Times New Roman" w:hAnsi="Times New Roman" w:cs="Times New Roman"/>
          <w:sz w:val="24"/>
          <w:szCs w:val="24"/>
        </w:rPr>
        <w:t>е</w:t>
      </w:r>
      <w:r w:rsidRPr="00E51782">
        <w:rPr>
          <w:rFonts w:ascii="Times New Roman" w:hAnsi="Times New Roman" w:cs="Times New Roman"/>
          <w:sz w:val="24"/>
          <w:szCs w:val="24"/>
        </w:rPr>
        <w:t xml:space="preserve">нной территории, за исключением трассовых посёлков.   </w:t>
      </w:r>
    </w:p>
    <w:p w:rsidR="00E51782" w:rsidRPr="00E51782" w:rsidRDefault="00E51782" w:rsidP="00F90FE4">
      <w:pPr>
        <w:spacing w:after="0" w:line="360" w:lineRule="auto"/>
        <w:ind w:firstLine="708"/>
        <w:jc w:val="both"/>
        <w:rPr>
          <w:rFonts w:ascii="Times New Roman" w:hAnsi="Times New Roman" w:cs="Times New Roman"/>
          <w:sz w:val="24"/>
          <w:szCs w:val="24"/>
        </w:rPr>
      </w:pPr>
      <w:r w:rsidRPr="00E51782">
        <w:rPr>
          <w:rFonts w:ascii="Times New Roman" w:hAnsi="Times New Roman" w:cs="Times New Roman"/>
          <w:sz w:val="24"/>
          <w:szCs w:val="24"/>
        </w:rPr>
        <w:t>Сохраняются объёмы производства сельскохозяйственной продукции. Отмечается увеличение объёмов производства к уровню прошлого го</w:t>
      </w:r>
      <w:r w:rsidR="00AA47A8">
        <w:rPr>
          <w:rFonts w:ascii="Times New Roman" w:hAnsi="Times New Roman" w:cs="Times New Roman"/>
          <w:sz w:val="24"/>
          <w:szCs w:val="24"/>
        </w:rPr>
        <w:t>да, по объёму добычи рыбы 109,8</w:t>
      </w:r>
      <w:r w:rsidRPr="00E51782">
        <w:rPr>
          <w:rFonts w:ascii="Times New Roman" w:hAnsi="Times New Roman" w:cs="Times New Roman"/>
          <w:sz w:val="24"/>
          <w:szCs w:val="24"/>
        </w:rPr>
        <w:t>%, производства</w:t>
      </w:r>
      <w:r w:rsidR="00AA47A8">
        <w:rPr>
          <w:rFonts w:ascii="Times New Roman" w:hAnsi="Times New Roman" w:cs="Times New Roman"/>
          <w:sz w:val="24"/>
          <w:szCs w:val="24"/>
        </w:rPr>
        <w:t xml:space="preserve"> овощей в закрытом грунте 112,0</w:t>
      </w:r>
      <w:r w:rsidRPr="00E51782">
        <w:rPr>
          <w:rFonts w:ascii="Times New Roman" w:hAnsi="Times New Roman" w:cs="Times New Roman"/>
          <w:sz w:val="24"/>
          <w:szCs w:val="24"/>
        </w:rPr>
        <w:t>%. По итогам года ожидае</w:t>
      </w:r>
      <w:r w:rsidR="00AA47A8">
        <w:rPr>
          <w:rFonts w:ascii="Times New Roman" w:hAnsi="Times New Roman" w:cs="Times New Roman"/>
          <w:sz w:val="24"/>
          <w:szCs w:val="24"/>
        </w:rPr>
        <w:t>тся</w:t>
      </w:r>
      <w:r w:rsidRPr="00E51782">
        <w:rPr>
          <w:rFonts w:ascii="Times New Roman" w:hAnsi="Times New Roman" w:cs="Times New Roman"/>
          <w:sz w:val="24"/>
          <w:szCs w:val="24"/>
        </w:rPr>
        <w:t xml:space="preserve"> увеличение объёмов производства молока и мяса к уровню 2016 года не</w:t>
      </w:r>
      <w:r w:rsidR="00AA47A8">
        <w:rPr>
          <w:rFonts w:ascii="Times New Roman" w:hAnsi="Times New Roman" w:cs="Times New Roman"/>
          <w:sz w:val="24"/>
          <w:szCs w:val="24"/>
        </w:rPr>
        <w:t xml:space="preserve"> менее, чем на              2,0</w:t>
      </w:r>
      <w:r w:rsidRPr="00E51782">
        <w:rPr>
          <w:rFonts w:ascii="Times New Roman" w:hAnsi="Times New Roman" w:cs="Times New Roman"/>
          <w:sz w:val="24"/>
          <w:szCs w:val="24"/>
        </w:rPr>
        <w:t>%. Рыбопромышленными предприятиями Белоярского района за десять месяцев</w:t>
      </w:r>
      <w:r w:rsidR="00AA47A8">
        <w:rPr>
          <w:rFonts w:ascii="Times New Roman" w:hAnsi="Times New Roman" w:cs="Times New Roman"/>
          <w:sz w:val="24"/>
          <w:szCs w:val="24"/>
        </w:rPr>
        <w:t xml:space="preserve"> 2017 года добыто 530 тонн рыбы. </w:t>
      </w:r>
    </w:p>
    <w:p w:rsidR="00E51782" w:rsidRPr="00E51782" w:rsidRDefault="00E51782" w:rsidP="00F90FE4">
      <w:pPr>
        <w:autoSpaceDE w:val="0"/>
        <w:autoSpaceDN w:val="0"/>
        <w:adjustRightInd w:val="0"/>
        <w:spacing w:after="0" w:line="360" w:lineRule="auto"/>
        <w:ind w:firstLine="360"/>
        <w:jc w:val="both"/>
        <w:rPr>
          <w:rFonts w:ascii="Times New Roman" w:hAnsi="Times New Roman" w:cs="Times New Roman"/>
          <w:sz w:val="24"/>
          <w:szCs w:val="24"/>
        </w:rPr>
      </w:pPr>
      <w:r w:rsidRPr="00E51782">
        <w:rPr>
          <w:rFonts w:ascii="Times New Roman" w:hAnsi="Times New Roman" w:cs="Times New Roman"/>
          <w:sz w:val="24"/>
          <w:szCs w:val="24"/>
        </w:rPr>
        <w:t xml:space="preserve">      Органы местного самоуправления Белоярского района содействовали привлечению инвестиций в аграрный сектор. Сельскохозяйственными предприятиями в течение года инвестированы средства по нескольким направлениям.</w:t>
      </w:r>
    </w:p>
    <w:p w:rsidR="00E51782" w:rsidRPr="00E51782" w:rsidRDefault="00E51782" w:rsidP="00F90FE4">
      <w:pPr>
        <w:autoSpaceDE w:val="0"/>
        <w:autoSpaceDN w:val="0"/>
        <w:adjustRightInd w:val="0"/>
        <w:spacing w:after="0" w:line="360" w:lineRule="auto"/>
        <w:jc w:val="both"/>
        <w:rPr>
          <w:rFonts w:ascii="Times New Roman" w:hAnsi="Times New Roman" w:cs="Times New Roman"/>
          <w:sz w:val="24"/>
          <w:szCs w:val="24"/>
        </w:rPr>
      </w:pPr>
      <w:r w:rsidRPr="00E51782">
        <w:rPr>
          <w:rFonts w:ascii="Times New Roman" w:hAnsi="Times New Roman" w:cs="Times New Roman"/>
          <w:sz w:val="24"/>
          <w:szCs w:val="24"/>
        </w:rPr>
        <w:tab/>
      </w:r>
      <w:r w:rsidR="00AA47A8">
        <w:rPr>
          <w:rFonts w:ascii="Times New Roman" w:hAnsi="Times New Roman" w:cs="Times New Roman"/>
          <w:sz w:val="24"/>
          <w:szCs w:val="24"/>
        </w:rPr>
        <w:t xml:space="preserve">1) ООО «СП </w:t>
      </w:r>
      <w:r w:rsidRPr="00E51782">
        <w:rPr>
          <w:rFonts w:ascii="Times New Roman" w:hAnsi="Times New Roman" w:cs="Times New Roman"/>
          <w:sz w:val="24"/>
          <w:szCs w:val="24"/>
        </w:rPr>
        <w:t>«Белоярское» успешно построило летний лагерь для содержания и доения коров. Приобретение доильного и стойлового оборудования, строительство летнего лагеря для содержания дойного стада коров обошлось хозяйству в 1,2 млн. рублей.</w:t>
      </w:r>
      <w:r w:rsidR="00AA47A8" w:rsidRPr="00E51782">
        <w:rPr>
          <w:rFonts w:ascii="Times New Roman" w:hAnsi="Times New Roman" w:cs="Times New Roman"/>
          <w:sz w:val="24"/>
          <w:szCs w:val="24"/>
        </w:rPr>
        <w:t xml:space="preserve"> </w:t>
      </w:r>
      <w:r w:rsidRPr="00E51782">
        <w:rPr>
          <w:rFonts w:ascii="Times New Roman" w:hAnsi="Times New Roman" w:cs="Times New Roman"/>
          <w:sz w:val="24"/>
          <w:szCs w:val="24"/>
        </w:rPr>
        <w:t>В ремонт коровника предприятие инвестировало 700 тысяч рублей.</w:t>
      </w:r>
    </w:p>
    <w:p w:rsidR="00E51782" w:rsidRPr="00E51782" w:rsidRDefault="00E51782" w:rsidP="00F90FE4">
      <w:pPr>
        <w:autoSpaceDE w:val="0"/>
        <w:autoSpaceDN w:val="0"/>
        <w:adjustRightInd w:val="0"/>
        <w:spacing w:after="0" w:line="360" w:lineRule="auto"/>
        <w:jc w:val="both"/>
        <w:rPr>
          <w:rFonts w:ascii="Times New Roman" w:hAnsi="Times New Roman" w:cs="Times New Roman"/>
          <w:sz w:val="24"/>
          <w:szCs w:val="24"/>
        </w:rPr>
      </w:pPr>
      <w:r w:rsidRPr="00E51782">
        <w:rPr>
          <w:rFonts w:ascii="Times New Roman" w:hAnsi="Times New Roman" w:cs="Times New Roman"/>
          <w:sz w:val="24"/>
          <w:szCs w:val="24"/>
        </w:rPr>
        <w:tab/>
        <w:t xml:space="preserve">Инвестированы деньги на ремонт основного стада кур несушек. Объём затрат превысил 1,7 млн. рублей.    </w:t>
      </w:r>
    </w:p>
    <w:p w:rsidR="00E51782" w:rsidRPr="00E51782" w:rsidRDefault="00E51782" w:rsidP="00F90FE4">
      <w:pPr>
        <w:autoSpaceDE w:val="0"/>
        <w:autoSpaceDN w:val="0"/>
        <w:adjustRightInd w:val="0"/>
        <w:spacing w:after="0" w:line="360" w:lineRule="auto"/>
        <w:jc w:val="both"/>
        <w:rPr>
          <w:rFonts w:ascii="Times New Roman" w:hAnsi="Times New Roman" w:cs="Times New Roman"/>
          <w:sz w:val="24"/>
          <w:szCs w:val="24"/>
        </w:rPr>
      </w:pPr>
      <w:r w:rsidRPr="00E51782">
        <w:rPr>
          <w:rFonts w:ascii="Times New Roman" w:hAnsi="Times New Roman" w:cs="Times New Roman"/>
          <w:sz w:val="24"/>
          <w:szCs w:val="24"/>
        </w:rPr>
        <w:tab/>
      </w:r>
      <w:r w:rsidR="00AA47A8">
        <w:rPr>
          <w:rFonts w:ascii="Times New Roman" w:hAnsi="Times New Roman" w:cs="Times New Roman"/>
          <w:sz w:val="24"/>
          <w:szCs w:val="24"/>
        </w:rPr>
        <w:t>2) АО</w:t>
      </w:r>
      <w:r w:rsidRPr="00E51782">
        <w:rPr>
          <w:rFonts w:ascii="Times New Roman" w:hAnsi="Times New Roman" w:cs="Times New Roman"/>
          <w:sz w:val="24"/>
          <w:szCs w:val="24"/>
        </w:rPr>
        <w:t xml:space="preserve"> «</w:t>
      </w:r>
      <w:proofErr w:type="spellStart"/>
      <w:r w:rsidRPr="00E51782">
        <w:rPr>
          <w:rFonts w:ascii="Times New Roman" w:hAnsi="Times New Roman" w:cs="Times New Roman"/>
          <w:sz w:val="24"/>
          <w:szCs w:val="24"/>
        </w:rPr>
        <w:t>Казымская</w:t>
      </w:r>
      <w:proofErr w:type="spellEnd"/>
      <w:r w:rsidRPr="00E51782">
        <w:rPr>
          <w:rFonts w:ascii="Times New Roman" w:hAnsi="Times New Roman" w:cs="Times New Roman"/>
          <w:sz w:val="24"/>
          <w:szCs w:val="24"/>
        </w:rPr>
        <w:t xml:space="preserve"> оленеводческая компания» в 2017 году инвестировало почти 9 млн. рублей на заключительные строительные работы по реконструкции фермы по производству клеточной пушнины, приобретение племенного поголовья серебристо-</w:t>
      </w:r>
      <w:r w:rsidRPr="00E51782">
        <w:rPr>
          <w:rFonts w:ascii="Times New Roman" w:hAnsi="Times New Roman" w:cs="Times New Roman"/>
          <w:sz w:val="24"/>
          <w:szCs w:val="24"/>
        </w:rPr>
        <w:lastRenderedPageBreak/>
        <w:t xml:space="preserve">чёрных лисиц. Построены газопровод, блочная котельная, капитально отремонтирован кормоцех, </w:t>
      </w:r>
      <w:proofErr w:type="spellStart"/>
      <w:r w:rsidRPr="00E51782">
        <w:rPr>
          <w:rFonts w:ascii="Times New Roman" w:hAnsi="Times New Roman" w:cs="Times New Roman"/>
          <w:sz w:val="24"/>
          <w:szCs w:val="24"/>
        </w:rPr>
        <w:t>шеды</w:t>
      </w:r>
      <w:proofErr w:type="spellEnd"/>
      <w:r w:rsidRPr="00E51782">
        <w:rPr>
          <w:rFonts w:ascii="Times New Roman" w:hAnsi="Times New Roman" w:cs="Times New Roman"/>
          <w:sz w:val="24"/>
          <w:szCs w:val="24"/>
        </w:rPr>
        <w:t xml:space="preserve"> для содержания 3 200 голов серебристо-чёрных лисиц, приобретено </w:t>
      </w:r>
      <w:r w:rsidR="00AA47A8">
        <w:rPr>
          <w:rFonts w:ascii="Times New Roman" w:hAnsi="Times New Roman" w:cs="Times New Roman"/>
          <w:sz w:val="24"/>
          <w:szCs w:val="24"/>
        </w:rPr>
        <w:t xml:space="preserve">100 </w:t>
      </w:r>
      <w:r w:rsidRPr="00E51782">
        <w:rPr>
          <w:rFonts w:ascii="Times New Roman" w:hAnsi="Times New Roman" w:cs="Times New Roman"/>
          <w:sz w:val="24"/>
          <w:szCs w:val="24"/>
        </w:rPr>
        <w:t xml:space="preserve">голов племенных лисиц из Кировской области. Запущено в эксплуатацию новое кормоприготовительное оборудование, стабильно высокое качество пара, плюс завоз племенного поголовья, плюс более эффективная работа нового руководителя предприятия обеспечили в 2017 году забой 2 200 голов щенков серебристо-чёрных лисиц, что 2,7 раза больше, чем в 2016 году.  Для обеспечения достойного уровня кормления зверей органы местного самоуправления Белоярского района и </w:t>
      </w:r>
      <w:proofErr w:type="spellStart"/>
      <w:r w:rsidRPr="00E51782">
        <w:rPr>
          <w:rFonts w:ascii="Times New Roman" w:hAnsi="Times New Roman" w:cs="Times New Roman"/>
          <w:sz w:val="24"/>
          <w:szCs w:val="24"/>
        </w:rPr>
        <w:t>Надымского</w:t>
      </w:r>
      <w:proofErr w:type="spellEnd"/>
      <w:r w:rsidRPr="00E51782">
        <w:rPr>
          <w:rFonts w:ascii="Times New Roman" w:hAnsi="Times New Roman" w:cs="Times New Roman"/>
          <w:sz w:val="24"/>
          <w:szCs w:val="24"/>
        </w:rPr>
        <w:t xml:space="preserve"> районов содействуют в налаживании контактов по приобретению субпродуктов от забоя оленей на </w:t>
      </w:r>
      <w:proofErr w:type="spellStart"/>
      <w:r w:rsidRPr="00E51782">
        <w:rPr>
          <w:rFonts w:ascii="Times New Roman" w:hAnsi="Times New Roman" w:cs="Times New Roman"/>
          <w:sz w:val="24"/>
          <w:szCs w:val="24"/>
        </w:rPr>
        <w:t>Ныдинском</w:t>
      </w:r>
      <w:proofErr w:type="spellEnd"/>
      <w:r w:rsidRPr="00E51782">
        <w:rPr>
          <w:rFonts w:ascii="Times New Roman" w:hAnsi="Times New Roman" w:cs="Times New Roman"/>
          <w:sz w:val="24"/>
          <w:szCs w:val="24"/>
        </w:rPr>
        <w:t xml:space="preserve"> забойном пункте. Планируется до 10 % произведённой пушнины экспортировать через                    Санкт-Петербургский пушно-меховой аукцион и в Республику Беларусь.  </w:t>
      </w:r>
    </w:p>
    <w:p w:rsidR="00E51782" w:rsidRPr="00E51782" w:rsidRDefault="00E51782" w:rsidP="00F90FE4">
      <w:pPr>
        <w:autoSpaceDE w:val="0"/>
        <w:autoSpaceDN w:val="0"/>
        <w:adjustRightInd w:val="0"/>
        <w:spacing w:after="0" w:line="360" w:lineRule="auto"/>
        <w:jc w:val="both"/>
        <w:rPr>
          <w:rFonts w:ascii="Times New Roman" w:hAnsi="Times New Roman" w:cs="Times New Roman"/>
          <w:sz w:val="24"/>
          <w:szCs w:val="24"/>
        </w:rPr>
      </w:pPr>
      <w:r w:rsidRPr="00E51782">
        <w:rPr>
          <w:rFonts w:ascii="Times New Roman" w:hAnsi="Times New Roman" w:cs="Times New Roman"/>
          <w:sz w:val="24"/>
          <w:szCs w:val="24"/>
        </w:rPr>
        <w:tab/>
      </w:r>
      <w:r w:rsidR="00AA47A8">
        <w:rPr>
          <w:rFonts w:ascii="Times New Roman" w:hAnsi="Times New Roman" w:cs="Times New Roman"/>
          <w:sz w:val="24"/>
          <w:szCs w:val="24"/>
        </w:rPr>
        <w:t xml:space="preserve">3) </w:t>
      </w:r>
      <w:r w:rsidRPr="00E51782">
        <w:rPr>
          <w:rFonts w:ascii="Times New Roman" w:hAnsi="Times New Roman" w:cs="Times New Roman"/>
          <w:sz w:val="24"/>
          <w:szCs w:val="24"/>
        </w:rPr>
        <w:t xml:space="preserve">Два инвестиционных проекта реализуется на территории села Полноват. Это строительство фермы по производству мяса птицы, и фермы по содержанию крупного рогатого скота. </w:t>
      </w:r>
    </w:p>
    <w:p w:rsidR="00E51782" w:rsidRPr="00E51782" w:rsidRDefault="00E51782" w:rsidP="00F90FE4">
      <w:pPr>
        <w:spacing w:after="0" w:line="360" w:lineRule="auto"/>
        <w:ind w:firstLine="708"/>
        <w:jc w:val="both"/>
        <w:rPr>
          <w:rFonts w:ascii="Times New Roman" w:hAnsi="Times New Roman" w:cs="Times New Roman"/>
          <w:sz w:val="24"/>
          <w:szCs w:val="24"/>
        </w:rPr>
      </w:pPr>
      <w:r w:rsidRPr="00E51782">
        <w:rPr>
          <w:rFonts w:ascii="Times New Roman" w:hAnsi="Times New Roman" w:cs="Times New Roman"/>
          <w:sz w:val="24"/>
          <w:szCs w:val="24"/>
        </w:rPr>
        <w:t xml:space="preserve">С целью повышения </w:t>
      </w:r>
      <w:proofErr w:type="spellStart"/>
      <w:r w:rsidRPr="00E51782">
        <w:rPr>
          <w:rFonts w:ascii="Times New Roman" w:hAnsi="Times New Roman" w:cs="Times New Roman"/>
          <w:sz w:val="24"/>
          <w:szCs w:val="24"/>
        </w:rPr>
        <w:t>конкурентности</w:t>
      </w:r>
      <w:proofErr w:type="spellEnd"/>
      <w:r w:rsidRPr="00E51782">
        <w:rPr>
          <w:rFonts w:ascii="Times New Roman" w:hAnsi="Times New Roman" w:cs="Times New Roman"/>
          <w:sz w:val="24"/>
          <w:szCs w:val="24"/>
        </w:rPr>
        <w:t xml:space="preserve"> наших товаропроизводителей, за счёт бюджета Белоярского района возмещаются затраты на участие специалистов агропромышленного комплекса в конкурсах профессионального мастерства. В течение 2017 года работники наших предприятий участвовали в трёх конкурсах профессионального мастерства.  На конкурсе профессионального мастерства среди оленеводов Югры на Кубок Губернатора Югры, лучшими были признаны главы крестьянских (фермерских) хозяйств Попов И.А. и </w:t>
      </w:r>
      <w:proofErr w:type="spellStart"/>
      <w:r w:rsidRPr="00E51782">
        <w:rPr>
          <w:rFonts w:ascii="Times New Roman" w:hAnsi="Times New Roman" w:cs="Times New Roman"/>
          <w:sz w:val="24"/>
          <w:szCs w:val="24"/>
        </w:rPr>
        <w:t>Пяк</w:t>
      </w:r>
      <w:proofErr w:type="spellEnd"/>
      <w:r w:rsidRPr="00E51782">
        <w:rPr>
          <w:rFonts w:ascii="Times New Roman" w:hAnsi="Times New Roman" w:cs="Times New Roman"/>
          <w:sz w:val="24"/>
          <w:szCs w:val="24"/>
        </w:rPr>
        <w:t xml:space="preserve"> С.П., мастер машинного доения из ООО СП «Белоярское» </w:t>
      </w:r>
      <w:proofErr w:type="spellStart"/>
      <w:r w:rsidRPr="00E51782">
        <w:rPr>
          <w:rFonts w:ascii="Times New Roman" w:hAnsi="Times New Roman" w:cs="Times New Roman"/>
          <w:sz w:val="24"/>
          <w:szCs w:val="24"/>
        </w:rPr>
        <w:t>Рекашина</w:t>
      </w:r>
      <w:proofErr w:type="spellEnd"/>
      <w:r w:rsidRPr="00E51782">
        <w:rPr>
          <w:rFonts w:ascii="Times New Roman" w:hAnsi="Times New Roman" w:cs="Times New Roman"/>
          <w:sz w:val="24"/>
          <w:szCs w:val="24"/>
        </w:rPr>
        <w:t xml:space="preserve"> </w:t>
      </w:r>
      <w:r w:rsidR="006B5F5B">
        <w:rPr>
          <w:rFonts w:ascii="Times New Roman" w:hAnsi="Times New Roman" w:cs="Times New Roman"/>
          <w:sz w:val="24"/>
          <w:szCs w:val="24"/>
        </w:rPr>
        <w:t>Г.Б.</w:t>
      </w:r>
      <w:r w:rsidRPr="00E51782">
        <w:rPr>
          <w:rFonts w:ascii="Times New Roman" w:hAnsi="Times New Roman" w:cs="Times New Roman"/>
          <w:sz w:val="24"/>
          <w:szCs w:val="24"/>
        </w:rPr>
        <w:t xml:space="preserve"> стала лучшей по профессии в автономном округе и заняла почётное 14 место среди 66 регионов на общероссийском профессиональном конкурсе. </w:t>
      </w:r>
    </w:p>
    <w:p w:rsidR="00E51782" w:rsidRPr="00E51782" w:rsidRDefault="00E51782" w:rsidP="00F90FE4">
      <w:pPr>
        <w:autoSpaceDE w:val="0"/>
        <w:autoSpaceDN w:val="0"/>
        <w:adjustRightInd w:val="0"/>
        <w:spacing w:after="0" w:line="360" w:lineRule="auto"/>
        <w:ind w:firstLine="708"/>
        <w:jc w:val="both"/>
        <w:rPr>
          <w:rFonts w:ascii="Times New Roman" w:hAnsi="Times New Roman" w:cs="Times New Roman"/>
          <w:sz w:val="24"/>
          <w:szCs w:val="24"/>
        </w:rPr>
      </w:pPr>
      <w:r w:rsidRPr="00E51782">
        <w:rPr>
          <w:rFonts w:ascii="Times New Roman" w:hAnsi="Times New Roman" w:cs="Times New Roman"/>
          <w:sz w:val="24"/>
          <w:szCs w:val="24"/>
        </w:rPr>
        <w:t xml:space="preserve">Предприятие ООО «Полноватское Рыбное Хозяйство» в 2017 году экспортировало 19 тонн пищевой рыбы, сумма контракта составила почти  1,9 млн. рублей. Молочная продукция ООО СП «Белоярское» </w:t>
      </w:r>
      <w:r w:rsidR="00F90FE4">
        <w:rPr>
          <w:rFonts w:ascii="Times New Roman" w:hAnsi="Times New Roman" w:cs="Times New Roman"/>
          <w:sz w:val="24"/>
          <w:szCs w:val="24"/>
        </w:rPr>
        <w:t>(</w:t>
      </w:r>
      <w:r w:rsidRPr="00E51782">
        <w:rPr>
          <w:rFonts w:ascii="Times New Roman" w:hAnsi="Times New Roman" w:cs="Times New Roman"/>
          <w:sz w:val="24"/>
          <w:szCs w:val="24"/>
        </w:rPr>
        <w:t>15 наименований</w:t>
      </w:r>
      <w:r w:rsidR="00F90FE4">
        <w:rPr>
          <w:rFonts w:ascii="Times New Roman" w:hAnsi="Times New Roman" w:cs="Times New Roman"/>
          <w:sz w:val="24"/>
          <w:szCs w:val="24"/>
        </w:rPr>
        <w:t>)</w:t>
      </w:r>
      <w:r w:rsidRPr="00E51782">
        <w:rPr>
          <w:rFonts w:ascii="Times New Roman" w:hAnsi="Times New Roman" w:cs="Times New Roman"/>
          <w:sz w:val="24"/>
          <w:szCs w:val="24"/>
        </w:rPr>
        <w:t xml:space="preserve"> реализуется через торговую сеть «Монетка», заключён договор с </w:t>
      </w:r>
      <w:proofErr w:type="spellStart"/>
      <w:r w:rsidRPr="00E51782">
        <w:rPr>
          <w:rFonts w:ascii="Times New Roman" w:hAnsi="Times New Roman" w:cs="Times New Roman"/>
          <w:sz w:val="24"/>
          <w:szCs w:val="24"/>
        </w:rPr>
        <w:t>ритейлером</w:t>
      </w:r>
      <w:proofErr w:type="spellEnd"/>
      <w:r w:rsidRPr="00E51782">
        <w:rPr>
          <w:rFonts w:ascii="Times New Roman" w:hAnsi="Times New Roman" w:cs="Times New Roman"/>
          <w:sz w:val="24"/>
          <w:szCs w:val="24"/>
        </w:rPr>
        <w:t xml:space="preserve"> «Магнит».</w:t>
      </w:r>
    </w:p>
    <w:p w:rsidR="00BF654E" w:rsidRPr="00933549" w:rsidRDefault="00BF654E" w:rsidP="00BF654E">
      <w:pPr>
        <w:spacing w:after="0" w:line="360" w:lineRule="auto"/>
        <w:ind w:firstLine="708"/>
        <w:jc w:val="both"/>
        <w:rPr>
          <w:rFonts w:ascii="Times New Roman" w:hAnsi="Times New Roman" w:cs="Times New Roman"/>
          <w:sz w:val="24"/>
          <w:szCs w:val="24"/>
        </w:rPr>
      </w:pPr>
      <w:r w:rsidRPr="00933549">
        <w:rPr>
          <w:rFonts w:ascii="Times New Roman" w:hAnsi="Times New Roman" w:cs="Times New Roman"/>
          <w:sz w:val="24"/>
          <w:szCs w:val="24"/>
        </w:rPr>
        <w:t xml:space="preserve">В целях </w:t>
      </w:r>
      <w:r w:rsidR="00E51782" w:rsidRPr="00933549">
        <w:rPr>
          <w:rFonts w:ascii="Times New Roman" w:hAnsi="Times New Roman" w:cs="Times New Roman"/>
          <w:sz w:val="24"/>
          <w:szCs w:val="24"/>
        </w:rPr>
        <w:t>содействия развитию конкуренции</w:t>
      </w:r>
      <w:r w:rsidRPr="00933549">
        <w:rPr>
          <w:rFonts w:ascii="Times New Roman" w:hAnsi="Times New Roman" w:cs="Times New Roman"/>
          <w:sz w:val="24"/>
          <w:szCs w:val="24"/>
        </w:rPr>
        <w:t xml:space="preserve"> </w:t>
      </w:r>
      <w:r w:rsidR="00933549" w:rsidRPr="00933549">
        <w:rPr>
          <w:rFonts w:ascii="Times New Roman" w:hAnsi="Times New Roman" w:cs="Times New Roman"/>
          <w:sz w:val="24"/>
          <w:szCs w:val="24"/>
        </w:rPr>
        <w:t xml:space="preserve">на территории Белоярского района </w:t>
      </w:r>
      <w:r w:rsidRPr="00933549">
        <w:rPr>
          <w:rFonts w:ascii="Times New Roman" w:hAnsi="Times New Roman" w:cs="Times New Roman"/>
          <w:sz w:val="24"/>
          <w:szCs w:val="24"/>
        </w:rPr>
        <w:t xml:space="preserve">предусмотрены следующие мероприятия </w:t>
      </w:r>
      <w:r w:rsidR="00933549" w:rsidRPr="00933549">
        <w:rPr>
          <w:rFonts w:ascii="Times New Roman" w:hAnsi="Times New Roman" w:cs="Times New Roman"/>
          <w:sz w:val="24"/>
          <w:szCs w:val="24"/>
        </w:rPr>
        <w:t>(направленные на</w:t>
      </w:r>
      <w:r w:rsidRPr="00933549">
        <w:rPr>
          <w:rFonts w:ascii="Times New Roman" w:hAnsi="Times New Roman" w:cs="Times New Roman"/>
          <w:sz w:val="24"/>
          <w:szCs w:val="24"/>
        </w:rPr>
        <w:t xml:space="preserve"> улучшени</w:t>
      </w:r>
      <w:r w:rsidR="00933549" w:rsidRPr="00933549">
        <w:rPr>
          <w:rFonts w:ascii="Times New Roman" w:hAnsi="Times New Roman" w:cs="Times New Roman"/>
          <w:sz w:val="24"/>
          <w:szCs w:val="24"/>
        </w:rPr>
        <w:t>е</w:t>
      </w:r>
      <w:r w:rsidRPr="00933549">
        <w:rPr>
          <w:rFonts w:ascii="Times New Roman" w:hAnsi="Times New Roman" w:cs="Times New Roman"/>
          <w:sz w:val="24"/>
          <w:szCs w:val="24"/>
        </w:rPr>
        <w:t xml:space="preserve"> эффективности и результативности деятельности органов местного самоуправления</w:t>
      </w:r>
      <w:r w:rsidR="00933549" w:rsidRPr="00933549">
        <w:rPr>
          <w:rFonts w:ascii="Times New Roman" w:hAnsi="Times New Roman" w:cs="Times New Roman"/>
          <w:sz w:val="24"/>
          <w:szCs w:val="24"/>
        </w:rPr>
        <w:t>)</w:t>
      </w:r>
      <w:r w:rsidR="00F90FE4" w:rsidRPr="00933549">
        <w:rPr>
          <w:rFonts w:ascii="Times New Roman" w:hAnsi="Times New Roman" w:cs="Times New Roman"/>
          <w:sz w:val="24"/>
          <w:szCs w:val="24"/>
        </w:rPr>
        <w:t>:</w:t>
      </w:r>
    </w:p>
    <w:p w:rsidR="00BF654E" w:rsidRPr="00933549" w:rsidRDefault="00BF654E" w:rsidP="00BF654E">
      <w:pPr>
        <w:pStyle w:val="a4"/>
        <w:numPr>
          <w:ilvl w:val="0"/>
          <w:numId w:val="7"/>
        </w:numPr>
        <w:tabs>
          <w:tab w:val="left" w:pos="993"/>
        </w:tabs>
        <w:spacing w:after="0" w:line="360" w:lineRule="auto"/>
        <w:ind w:left="0" w:firstLine="709"/>
        <w:jc w:val="both"/>
        <w:rPr>
          <w:rFonts w:ascii="Times New Roman" w:hAnsi="Times New Roman" w:cs="Times New Roman"/>
          <w:sz w:val="24"/>
          <w:szCs w:val="24"/>
        </w:rPr>
      </w:pPr>
      <w:r w:rsidRPr="00933549">
        <w:rPr>
          <w:rFonts w:ascii="Times New Roman" w:hAnsi="Times New Roman" w:cs="Times New Roman"/>
          <w:sz w:val="24"/>
          <w:szCs w:val="24"/>
        </w:rPr>
        <w:t>предоставление финансовой поддержки на производство агропромышленной продукции</w:t>
      </w:r>
      <w:r w:rsidR="00933549" w:rsidRPr="00933549">
        <w:rPr>
          <w:rFonts w:ascii="Times New Roman" w:hAnsi="Times New Roman" w:cs="Times New Roman"/>
          <w:sz w:val="24"/>
          <w:szCs w:val="24"/>
        </w:rPr>
        <w:t>;</w:t>
      </w:r>
    </w:p>
    <w:p w:rsidR="00BF654E" w:rsidRPr="00BF654E" w:rsidRDefault="00BF654E" w:rsidP="00BF654E">
      <w:pPr>
        <w:pStyle w:val="a4"/>
        <w:numPr>
          <w:ilvl w:val="0"/>
          <w:numId w:val="7"/>
        </w:numPr>
        <w:tabs>
          <w:tab w:val="left" w:pos="993"/>
        </w:tabs>
        <w:spacing w:after="0" w:line="360" w:lineRule="auto"/>
        <w:ind w:left="0" w:firstLine="709"/>
        <w:jc w:val="both"/>
        <w:rPr>
          <w:rFonts w:ascii="Times New Roman" w:hAnsi="Times New Roman" w:cs="Times New Roman"/>
          <w:color w:val="FF0000"/>
          <w:sz w:val="24"/>
          <w:szCs w:val="24"/>
        </w:rPr>
      </w:pPr>
      <w:r w:rsidRPr="00933549">
        <w:rPr>
          <w:rFonts w:ascii="Times New Roman" w:hAnsi="Times New Roman" w:cs="Times New Roman"/>
          <w:sz w:val="24"/>
          <w:szCs w:val="24"/>
        </w:rPr>
        <w:t xml:space="preserve">содействие предприятиям </w:t>
      </w:r>
      <w:r w:rsidRPr="00BF654E">
        <w:rPr>
          <w:rFonts w:ascii="Times New Roman" w:hAnsi="Times New Roman" w:cs="Times New Roman"/>
          <w:sz w:val="24"/>
          <w:szCs w:val="24"/>
        </w:rPr>
        <w:t>агропромышленного комплекса по реализации продукции через сетевые магазины</w:t>
      </w:r>
      <w:r w:rsidR="00933549">
        <w:rPr>
          <w:rFonts w:ascii="Times New Roman" w:hAnsi="Times New Roman" w:cs="Times New Roman"/>
          <w:sz w:val="24"/>
          <w:szCs w:val="24"/>
        </w:rPr>
        <w:t>;</w:t>
      </w:r>
    </w:p>
    <w:p w:rsidR="00E51782" w:rsidRPr="00933549" w:rsidRDefault="00BF654E" w:rsidP="00933549">
      <w:pPr>
        <w:pStyle w:val="a4"/>
        <w:numPr>
          <w:ilvl w:val="0"/>
          <w:numId w:val="7"/>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BF654E">
        <w:rPr>
          <w:rFonts w:ascii="Times New Roman" w:hAnsi="Times New Roman" w:cs="Times New Roman"/>
          <w:sz w:val="24"/>
          <w:szCs w:val="24"/>
        </w:rPr>
        <w:t xml:space="preserve">одействие предприятиям агропромышленного комплекса по прохождению </w:t>
      </w:r>
      <w:r w:rsidRPr="00933549">
        <w:rPr>
          <w:rFonts w:ascii="Times New Roman" w:hAnsi="Times New Roman" w:cs="Times New Roman"/>
          <w:sz w:val="24"/>
          <w:szCs w:val="24"/>
        </w:rPr>
        <w:t>процедур соответствия предприятиям экспортёрам Таможенного союза</w:t>
      </w:r>
      <w:r w:rsidR="00933549" w:rsidRPr="00933549">
        <w:rPr>
          <w:rFonts w:ascii="Times New Roman" w:hAnsi="Times New Roman" w:cs="Times New Roman"/>
          <w:sz w:val="24"/>
          <w:szCs w:val="24"/>
        </w:rPr>
        <w:t>.</w:t>
      </w:r>
    </w:p>
    <w:p w:rsidR="00933549" w:rsidRPr="00933549" w:rsidRDefault="00933549" w:rsidP="00933549">
      <w:pPr>
        <w:tabs>
          <w:tab w:val="left" w:pos="993"/>
        </w:tabs>
        <w:spacing w:after="0" w:line="360" w:lineRule="auto"/>
        <w:ind w:firstLine="709"/>
        <w:jc w:val="both"/>
        <w:rPr>
          <w:rFonts w:ascii="Times New Roman" w:hAnsi="Times New Roman" w:cs="Times New Roman"/>
          <w:sz w:val="24"/>
          <w:szCs w:val="24"/>
        </w:rPr>
      </w:pPr>
      <w:r w:rsidRPr="00933549">
        <w:rPr>
          <w:rFonts w:ascii="Times New Roman" w:hAnsi="Times New Roman" w:cs="Times New Roman"/>
          <w:sz w:val="24"/>
          <w:szCs w:val="24"/>
        </w:rPr>
        <w:t>По данным социологического исследования состояния и развития конкурентной среды на рынках товаров и услуг в автономном округе в Белоярском районе:</w:t>
      </w:r>
    </w:p>
    <w:p w:rsidR="00933549" w:rsidRPr="00933549" w:rsidRDefault="00933549" w:rsidP="00933549">
      <w:pPr>
        <w:tabs>
          <w:tab w:val="left" w:pos="993"/>
        </w:tabs>
        <w:spacing w:after="0" w:line="360" w:lineRule="auto"/>
        <w:ind w:firstLine="709"/>
        <w:jc w:val="both"/>
        <w:rPr>
          <w:rFonts w:ascii="Times New Roman" w:hAnsi="Times New Roman" w:cs="Times New Roman"/>
          <w:sz w:val="24"/>
          <w:szCs w:val="24"/>
        </w:rPr>
      </w:pPr>
      <w:r w:rsidRPr="00933549">
        <w:rPr>
          <w:rFonts w:ascii="Times New Roman" w:hAnsi="Times New Roman" w:cs="Times New Roman"/>
          <w:sz w:val="24"/>
          <w:szCs w:val="24"/>
        </w:rPr>
        <w:t>- качеством товаров и услуг удовлетворены 5,3% опрошенных, скорее удовлетворены 93,6%;</w:t>
      </w:r>
    </w:p>
    <w:p w:rsidR="00933549" w:rsidRPr="00933549" w:rsidRDefault="00933549" w:rsidP="00933549">
      <w:pPr>
        <w:tabs>
          <w:tab w:val="left" w:pos="993"/>
        </w:tabs>
        <w:spacing w:after="0" w:line="360" w:lineRule="auto"/>
        <w:ind w:firstLine="709"/>
        <w:jc w:val="both"/>
        <w:rPr>
          <w:rFonts w:ascii="Times New Roman" w:hAnsi="Times New Roman" w:cs="Times New Roman"/>
          <w:sz w:val="24"/>
          <w:szCs w:val="24"/>
        </w:rPr>
      </w:pPr>
      <w:r w:rsidRPr="00933549">
        <w:rPr>
          <w:rFonts w:ascii="Times New Roman" w:hAnsi="Times New Roman" w:cs="Times New Roman"/>
          <w:sz w:val="24"/>
          <w:szCs w:val="24"/>
        </w:rPr>
        <w:t>- уровнем цен удовлетворены 1,1% опрошенных, скорее удовлетворены 77,9%.</w:t>
      </w:r>
    </w:p>
    <w:p w:rsidR="00933549" w:rsidRPr="00933549" w:rsidRDefault="00933549" w:rsidP="00933549">
      <w:pPr>
        <w:tabs>
          <w:tab w:val="left" w:pos="993"/>
        </w:tabs>
        <w:spacing w:after="0" w:line="360" w:lineRule="auto"/>
        <w:ind w:firstLine="709"/>
        <w:jc w:val="both"/>
        <w:rPr>
          <w:rFonts w:ascii="Times New Roman" w:hAnsi="Times New Roman" w:cs="Times New Roman"/>
          <w:sz w:val="24"/>
          <w:szCs w:val="24"/>
        </w:rPr>
      </w:pPr>
      <w:r w:rsidRPr="00933549">
        <w:rPr>
          <w:rFonts w:ascii="Times New Roman" w:hAnsi="Times New Roman" w:cs="Times New Roman"/>
          <w:sz w:val="24"/>
          <w:szCs w:val="24"/>
        </w:rPr>
        <w:t>- возможностью выбора удовлетворены 4,8% опрошенных, скорее удовлетворены 90,4%.</w:t>
      </w:r>
    </w:p>
    <w:p w:rsidR="00E51782" w:rsidRPr="00E51782" w:rsidRDefault="00E51782" w:rsidP="00E51782">
      <w:pPr>
        <w:jc w:val="center"/>
        <w:rPr>
          <w:rFonts w:ascii="Times New Roman" w:hAnsi="Times New Roman" w:cs="Times New Roman"/>
          <w:sz w:val="24"/>
          <w:szCs w:val="24"/>
        </w:rPr>
      </w:pPr>
    </w:p>
    <w:p w:rsidR="00725F73" w:rsidRDefault="00725F73" w:rsidP="00725F7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ОБРАЗОВАНИЕ</w:t>
      </w:r>
    </w:p>
    <w:p w:rsidR="009A6AB5" w:rsidRPr="009A6AB5" w:rsidRDefault="009A6AB5" w:rsidP="009A6AB5">
      <w:pPr>
        <w:spacing w:after="0" w:line="360" w:lineRule="auto"/>
        <w:jc w:val="both"/>
        <w:rPr>
          <w:rFonts w:ascii="Times New Roman" w:hAnsi="Times New Roman" w:cs="Times New Roman"/>
          <w:b/>
          <w:sz w:val="24"/>
          <w:szCs w:val="24"/>
        </w:rPr>
      </w:pPr>
      <w:r w:rsidRPr="009A6AB5">
        <w:rPr>
          <w:rFonts w:ascii="Times New Roman" w:hAnsi="Times New Roman" w:cs="Times New Roman"/>
          <w:b/>
          <w:sz w:val="24"/>
          <w:szCs w:val="24"/>
        </w:rPr>
        <w:t>Характеристика состояния конкуренции на рынке товаров и услуг.</w:t>
      </w:r>
    </w:p>
    <w:p w:rsidR="00BA2A07" w:rsidRPr="00EB7E02" w:rsidRDefault="00BA2A07" w:rsidP="00725F73">
      <w:pPr>
        <w:spacing w:after="0" w:line="360" w:lineRule="auto"/>
        <w:jc w:val="both"/>
        <w:rPr>
          <w:rFonts w:ascii="Times New Roman" w:hAnsi="Times New Roman" w:cs="Times New Roman"/>
          <w:b/>
          <w:sz w:val="26"/>
          <w:szCs w:val="26"/>
        </w:rPr>
      </w:pPr>
      <w:r w:rsidRPr="00EB7E02">
        <w:rPr>
          <w:rFonts w:ascii="Times New Roman" w:hAnsi="Times New Roman" w:cs="Times New Roman"/>
          <w:b/>
          <w:sz w:val="26"/>
          <w:szCs w:val="26"/>
        </w:rPr>
        <w:t>Рынок услуг дошкольного образования</w:t>
      </w:r>
    </w:p>
    <w:p w:rsidR="00DA5327" w:rsidRPr="00725F73" w:rsidRDefault="00DA5327" w:rsidP="009A6AB5">
      <w:pPr>
        <w:spacing w:after="0" w:line="360" w:lineRule="auto"/>
        <w:ind w:firstLine="709"/>
        <w:jc w:val="both"/>
        <w:rPr>
          <w:rFonts w:ascii="Times New Roman" w:hAnsi="Times New Roman" w:cs="Times New Roman"/>
          <w:sz w:val="24"/>
          <w:szCs w:val="24"/>
        </w:rPr>
      </w:pPr>
      <w:r w:rsidRPr="00725F73">
        <w:rPr>
          <w:rFonts w:ascii="Times New Roman" w:hAnsi="Times New Roman" w:cs="Times New Roman"/>
          <w:sz w:val="24"/>
          <w:szCs w:val="24"/>
        </w:rPr>
        <w:t>По состоянию на 1 декабря 2017 года в Белоярском районе дошкольное образование обеспечивают 10 образовательных учреждений. Учреждения негосударственного сектора на территории района отсутствуют.</w:t>
      </w:r>
    </w:p>
    <w:p w:rsidR="00DA5327" w:rsidRPr="00725F73" w:rsidRDefault="00DA5327" w:rsidP="009A6AB5">
      <w:pPr>
        <w:spacing w:after="0" w:line="360" w:lineRule="auto"/>
        <w:ind w:firstLine="709"/>
        <w:jc w:val="both"/>
        <w:rPr>
          <w:rFonts w:ascii="Times New Roman" w:hAnsi="Times New Roman" w:cs="Times New Roman"/>
          <w:sz w:val="24"/>
          <w:szCs w:val="24"/>
        </w:rPr>
      </w:pPr>
      <w:r w:rsidRPr="00725F73">
        <w:rPr>
          <w:rFonts w:ascii="Times New Roman" w:hAnsi="Times New Roman" w:cs="Times New Roman"/>
          <w:sz w:val="24"/>
          <w:szCs w:val="24"/>
        </w:rPr>
        <w:t xml:space="preserve">Услугами дошкольного образования охвачено 2083 </w:t>
      </w:r>
      <w:r w:rsidR="0061548B">
        <w:rPr>
          <w:rFonts w:ascii="Times New Roman" w:hAnsi="Times New Roman" w:cs="Times New Roman"/>
          <w:sz w:val="24"/>
          <w:szCs w:val="24"/>
        </w:rPr>
        <w:t>ребенка</w:t>
      </w:r>
      <w:r w:rsidRPr="00725F73">
        <w:rPr>
          <w:rFonts w:ascii="Times New Roman" w:hAnsi="Times New Roman" w:cs="Times New Roman"/>
          <w:sz w:val="24"/>
          <w:szCs w:val="24"/>
        </w:rPr>
        <w:t>, что составляет 70,2% от общей численности детей от 0 до 7 лет. Доступность дошкольного образования в возрасте от 3</w:t>
      </w:r>
      <w:r w:rsidR="0061548B">
        <w:rPr>
          <w:rFonts w:ascii="Times New Roman" w:hAnsi="Times New Roman" w:cs="Times New Roman"/>
          <w:sz w:val="24"/>
          <w:szCs w:val="24"/>
        </w:rPr>
        <w:t xml:space="preserve"> до </w:t>
      </w:r>
      <w:r w:rsidRPr="00725F73">
        <w:rPr>
          <w:rFonts w:ascii="Times New Roman" w:hAnsi="Times New Roman" w:cs="Times New Roman"/>
          <w:sz w:val="24"/>
          <w:szCs w:val="24"/>
        </w:rPr>
        <w:t>7 лет составляет 100%.</w:t>
      </w:r>
    </w:p>
    <w:p w:rsidR="00DA5327" w:rsidRDefault="00DA5327" w:rsidP="009A6AB5">
      <w:pPr>
        <w:spacing w:after="0" w:line="360" w:lineRule="auto"/>
        <w:ind w:firstLine="709"/>
        <w:jc w:val="both"/>
        <w:rPr>
          <w:rFonts w:ascii="Times New Roman" w:hAnsi="Times New Roman" w:cs="Times New Roman"/>
          <w:sz w:val="24"/>
          <w:szCs w:val="24"/>
        </w:rPr>
      </w:pPr>
      <w:r w:rsidRPr="00725F73">
        <w:rPr>
          <w:rFonts w:ascii="Times New Roman" w:hAnsi="Times New Roman" w:cs="Times New Roman"/>
          <w:sz w:val="24"/>
          <w:szCs w:val="24"/>
        </w:rPr>
        <w:t>На официальном сайте Комитета по образованию администрации Белоярского района www.beledu.ru размещена информация о мероприятиях в ХМАО-Югре, направленных на развитие конкуренции на рынке услуг дошкольного образования.</w:t>
      </w:r>
    </w:p>
    <w:p w:rsidR="00A564D5" w:rsidRDefault="00A564D5" w:rsidP="009A6A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данным социологического исследования состояния и развития конкурентной среды на рынках товаров и услуг в автономном округе</w:t>
      </w:r>
      <w:r w:rsidR="007F329E">
        <w:rPr>
          <w:rFonts w:ascii="Times New Roman" w:hAnsi="Times New Roman" w:cs="Times New Roman"/>
          <w:sz w:val="24"/>
          <w:szCs w:val="24"/>
        </w:rPr>
        <w:t xml:space="preserve"> в Белоярском районе</w:t>
      </w:r>
      <w:r>
        <w:rPr>
          <w:rFonts w:ascii="Times New Roman" w:hAnsi="Times New Roman" w:cs="Times New Roman"/>
          <w:sz w:val="24"/>
          <w:szCs w:val="24"/>
        </w:rPr>
        <w:t>:</w:t>
      </w:r>
    </w:p>
    <w:p w:rsidR="00A564D5" w:rsidRDefault="00A564D5" w:rsidP="009A6A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качеством дошкольного образования удовлетворены 49,5% опрошенных, скорее удовлетворены 47,3%;</w:t>
      </w:r>
    </w:p>
    <w:p w:rsidR="00A564D5" w:rsidRDefault="00A564D5" w:rsidP="009A6A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уровнем цен удовлетворены 33,3% опрошенных, скорее удовлетворены 50%.</w:t>
      </w:r>
    </w:p>
    <w:p w:rsidR="009A03B6" w:rsidRPr="00725F73" w:rsidRDefault="009A03B6" w:rsidP="009A6A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возможностью выбора удовлетворены 14,3% опрошенных, скорее удовлетворены 82,1%.</w:t>
      </w:r>
    </w:p>
    <w:p w:rsidR="00725F73" w:rsidRDefault="00725F73" w:rsidP="00725F73">
      <w:pPr>
        <w:spacing w:after="0" w:line="360" w:lineRule="auto"/>
        <w:jc w:val="both"/>
        <w:rPr>
          <w:rFonts w:ascii="Times New Roman" w:hAnsi="Times New Roman" w:cs="Times New Roman"/>
          <w:b/>
          <w:sz w:val="24"/>
          <w:szCs w:val="24"/>
        </w:rPr>
      </w:pPr>
    </w:p>
    <w:p w:rsidR="00BA2A07" w:rsidRPr="00EB7E02" w:rsidRDefault="00BA2A07" w:rsidP="00725F73">
      <w:pPr>
        <w:spacing w:after="0" w:line="360" w:lineRule="auto"/>
        <w:jc w:val="both"/>
        <w:rPr>
          <w:rFonts w:ascii="Times New Roman" w:hAnsi="Times New Roman" w:cs="Times New Roman"/>
          <w:b/>
          <w:sz w:val="26"/>
          <w:szCs w:val="26"/>
        </w:rPr>
      </w:pPr>
      <w:r w:rsidRPr="00EB7E02">
        <w:rPr>
          <w:rFonts w:ascii="Times New Roman" w:hAnsi="Times New Roman" w:cs="Times New Roman"/>
          <w:b/>
          <w:sz w:val="26"/>
          <w:szCs w:val="26"/>
        </w:rPr>
        <w:t>Рынок услуг дополнительного образования детей</w:t>
      </w:r>
    </w:p>
    <w:p w:rsidR="00DA5327" w:rsidRPr="00725F73" w:rsidRDefault="00DA5327" w:rsidP="00725F73">
      <w:pPr>
        <w:spacing w:after="0" w:line="360" w:lineRule="auto"/>
        <w:ind w:firstLine="708"/>
        <w:jc w:val="both"/>
        <w:rPr>
          <w:rFonts w:ascii="Times New Roman" w:hAnsi="Times New Roman" w:cs="Times New Roman"/>
          <w:sz w:val="24"/>
          <w:szCs w:val="24"/>
        </w:rPr>
      </w:pPr>
      <w:r w:rsidRPr="00725F73">
        <w:rPr>
          <w:rFonts w:ascii="Times New Roman" w:hAnsi="Times New Roman" w:cs="Times New Roman"/>
          <w:sz w:val="24"/>
          <w:szCs w:val="24"/>
        </w:rPr>
        <w:t xml:space="preserve">На 1 декабря 2017 года на территории Белоярского района функционирует 1 учреждение дополнительного образования детей. </w:t>
      </w:r>
    </w:p>
    <w:p w:rsidR="00DA5327" w:rsidRPr="00725F73" w:rsidRDefault="00DA5327" w:rsidP="00725F73">
      <w:pPr>
        <w:spacing w:after="0" w:line="360" w:lineRule="auto"/>
        <w:ind w:firstLine="708"/>
        <w:jc w:val="both"/>
        <w:rPr>
          <w:rFonts w:ascii="Times New Roman" w:hAnsi="Times New Roman" w:cs="Times New Roman"/>
          <w:sz w:val="24"/>
          <w:szCs w:val="24"/>
        </w:rPr>
      </w:pPr>
      <w:r w:rsidRPr="00725F73">
        <w:rPr>
          <w:rFonts w:ascii="Times New Roman" w:hAnsi="Times New Roman" w:cs="Times New Roman"/>
          <w:sz w:val="24"/>
          <w:szCs w:val="24"/>
        </w:rPr>
        <w:t>Охват детей в возрасте от 5 до 18 лет дополнительным образованием   с учетом всех учреждений дополнительного образования района составил 62 %.</w:t>
      </w:r>
    </w:p>
    <w:p w:rsidR="00A564D5" w:rsidRPr="00A564D5" w:rsidRDefault="00A564D5" w:rsidP="00A564D5">
      <w:pPr>
        <w:spacing w:after="0" w:line="360" w:lineRule="auto"/>
        <w:ind w:firstLine="709"/>
        <w:jc w:val="both"/>
        <w:rPr>
          <w:rFonts w:ascii="Times New Roman" w:hAnsi="Times New Roman" w:cs="Times New Roman"/>
          <w:sz w:val="24"/>
          <w:szCs w:val="24"/>
        </w:rPr>
      </w:pPr>
      <w:r w:rsidRPr="00A564D5">
        <w:rPr>
          <w:rFonts w:ascii="Times New Roman" w:hAnsi="Times New Roman" w:cs="Times New Roman"/>
          <w:sz w:val="24"/>
          <w:szCs w:val="24"/>
        </w:rPr>
        <w:t>На рынке предоставления услуг дополнительно</w:t>
      </w:r>
      <w:r w:rsidR="009A03B6">
        <w:rPr>
          <w:rFonts w:ascii="Times New Roman" w:hAnsi="Times New Roman" w:cs="Times New Roman"/>
          <w:sz w:val="24"/>
          <w:szCs w:val="24"/>
        </w:rPr>
        <w:t>го образования детей осуществляе</w:t>
      </w:r>
      <w:r w:rsidRPr="00A564D5">
        <w:rPr>
          <w:rFonts w:ascii="Times New Roman" w:hAnsi="Times New Roman" w:cs="Times New Roman"/>
          <w:sz w:val="24"/>
          <w:szCs w:val="24"/>
        </w:rPr>
        <w:t xml:space="preserve">т деятельность (ИП </w:t>
      </w:r>
      <w:proofErr w:type="spellStart"/>
      <w:r w:rsidRPr="00A564D5">
        <w:rPr>
          <w:rFonts w:ascii="Times New Roman" w:hAnsi="Times New Roman" w:cs="Times New Roman"/>
          <w:sz w:val="24"/>
          <w:szCs w:val="24"/>
        </w:rPr>
        <w:t>Житинева</w:t>
      </w:r>
      <w:proofErr w:type="spellEnd"/>
      <w:r w:rsidRPr="00A564D5">
        <w:rPr>
          <w:rFonts w:ascii="Times New Roman" w:hAnsi="Times New Roman" w:cs="Times New Roman"/>
          <w:sz w:val="24"/>
          <w:szCs w:val="24"/>
        </w:rPr>
        <w:t>).  Услугами негосударственного сектора воспользовались 10 детей. Реализуется дополнительная общеразвивающая программа художественной направленности.</w:t>
      </w:r>
    </w:p>
    <w:p w:rsidR="00DA5327" w:rsidRPr="00725F73" w:rsidRDefault="00DA5327" w:rsidP="00725F73">
      <w:pPr>
        <w:spacing w:after="0" w:line="360" w:lineRule="auto"/>
        <w:jc w:val="both"/>
        <w:rPr>
          <w:rFonts w:ascii="Times New Roman" w:hAnsi="Times New Roman" w:cs="Times New Roman"/>
          <w:sz w:val="24"/>
          <w:szCs w:val="24"/>
        </w:rPr>
      </w:pPr>
      <w:r w:rsidRPr="00725F73">
        <w:rPr>
          <w:rFonts w:ascii="Times New Roman" w:hAnsi="Times New Roman" w:cs="Times New Roman"/>
          <w:sz w:val="24"/>
          <w:szCs w:val="24"/>
        </w:rPr>
        <w:t xml:space="preserve"> </w:t>
      </w:r>
      <w:r w:rsidRPr="00725F73">
        <w:rPr>
          <w:rFonts w:ascii="Times New Roman" w:hAnsi="Times New Roman" w:cs="Times New Roman"/>
          <w:sz w:val="24"/>
          <w:szCs w:val="24"/>
        </w:rPr>
        <w:tab/>
        <w:t>Распоряжением Комитета по образованию администрации Белоярского района от 10 февраля 2017 года №57 «Об утверждении перечня услуг, передаваемых на исполнение немуниципальным организациям (в том числе социально-ориентированным некоммерческим организациям)» утвержден перечень услуг.</w:t>
      </w:r>
    </w:p>
    <w:p w:rsidR="00DA5327" w:rsidRDefault="00DA5327" w:rsidP="00725F73">
      <w:pPr>
        <w:spacing w:after="0" w:line="360" w:lineRule="auto"/>
        <w:ind w:firstLine="708"/>
        <w:jc w:val="both"/>
        <w:rPr>
          <w:rFonts w:ascii="Times New Roman" w:hAnsi="Times New Roman" w:cs="Times New Roman"/>
          <w:sz w:val="24"/>
          <w:szCs w:val="24"/>
        </w:rPr>
      </w:pPr>
      <w:r w:rsidRPr="00725F73">
        <w:rPr>
          <w:rFonts w:ascii="Times New Roman" w:hAnsi="Times New Roman" w:cs="Times New Roman"/>
          <w:sz w:val="24"/>
          <w:szCs w:val="24"/>
        </w:rPr>
        <w:t>На сайте Комитета по образованию http://www.beledu.ru/razvitie-konkurencii/reestr-postavshchikov-uslug-v-</w:t>
      </w:r>
      <w:r w:rsidR="009932B1">
        <w:rPr>
          <w:rFonts w:ascii="Times New Roman" w:hAnsi="Times New Roman" w:cs="Times New Roman"/>
          <w:sz w:val="24"/>
          <w:szCs w:val="24"/>
        </w:rPr>
        <w:t xml:space="preserve">sfere-obrazovaniya размещен </w:t>
      </w:r>
      <w:r w:rsidRPr="00725F73">
        <w:rPr>
          <w:rFonts w:ascii="Times New Roman" w:hAnsi="Times New Roman" w:cs="Times New Roman"/>
          <w:sz w:val="24"/>
          <w:szCs w:val="24"/>
        </w:rPr>
        <w:t xml:space="preserve">реестр поставщиков услуг в </w:t>
      </w:r>
      <w:r w:rsidRPr="006F1828">
        <w:rPr>
          <w:rFonts w:ascii="Times New Roman" w:hAnsi="Times New Roman" w:cs="Times New Roman"/>
          <w:sz w:val="24"/>
          <w:szCs w:val="24"/>
        </w:rPr>
        <w:t>сфере образования Белоярского района.</w:t>
      </w:r>
    </w:p>
    <w:p w:rsidR="009A03B6" w:rsidRDefault="009A03B6" w:rsidP="009A03B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данным социологического исследования состояния и развития конкурентной среды на рынках товаров и услуг в автономном округе</w:t>
      </w:r>
      <w:r w:rsidR="007F329E">
        <w:rPr>
          <w:rFonts w:ascii="Times New Roman" w:hAnsi="Times New Roman" w:cs="Times New Roman"/>
          <w:sz w:val="24"/>
          <w:szCs w:val="24"/>
        </w:rPr>
        <w:t xml:space="preserve"> в Белоярском районе</w:t>
      </w:r>
      <w:r>
        <w:rPr>
          <w:rFonts w:ascii="Times New Roman" w:hAnsi="Times New Roman" w:cs="Times New Roman"/>
          <w:sz w:val="24"/>
          <w:szCs w:val="24"/>
        </w:rPr>
        <w:t>:</w:t>
      </w:r>
    </w:p>
    <w:p w:rsidR="009A03B6" w:rsidRDefault="009A03B6" w:rsidP="00725F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уровнем цен удовлетворены 37,5% опрошенных, скорее удовлетворены 52,1%;</w:t>
      </w:r>
    </w:p>
    <w:p w:rsidR="009A03B6" w:rsidRDefault="009A03B6" w:rsidP="00725F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качеством дополнительного образования удовлетворены 51,1% опрошенных, скорее удовлетворены 44,7%;</w:t>
      </w:r>
    </w:p>
    <w:p w:rsidR="009A03B6" w:rsidRPr="006F1828" w:rsidRDefault="009A03B6" w:rsidP="00725F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возможностью выбора удовлетворены 27,4% опрошенных, скорее удовлетворены </w:t>
      </w:r>
      <w:proofErr w:type="gramStart"/>
      <w:r>
        <w:rPr>
          <w:rFonts w:ascii="Times New Roman" w:hAnsi="Times New Roman" w:cs="Times New Roman"/>
          <w:sz w:val="24"/>
          <w:szCs w:val="24"/>
        </w:rPr>
        <w:t>71,%</w:t>
      </w:r>
      <w:proofErr w:type="gramEnd"/>
      <w:r>
        <w:rPr>
          <w:rFonts w:ascii="Times New Roman" w:hAnsi="Times New Roman" w:cs="Times New Roman"/>
          <w:sz w:val="24"/>
          <w:szCs w:val="24"/>
        </w:rPr>
        <w:t>.</w:t>
      </w:r>
    </w:p>
    <w:p w:rsidR="00DA5327" w:rsidRPr="00725F73" w:rsidRDefault="00DA5327" w:rsidP="00725F73">
      <w:pPr>
        <w:spacing w:line="360" w:lineRule="auto"/>
        <w:rPr>
          <w:rFonts w:ascii="Times New Roman" w:hAnsi="Times New Roman" w:cs="Times New Roman"/>
          <w:sz w:val="24"/>
          <w:szCs w:val="24"/>
        </w:rPr>
      </w:pPr>
    </w:p>
    <w:p w:rsidR="00BA2A07" w:rsidRPr="00EB7E02" w:rsidRDefault="00BA2A07" w:rsidP="005C1731">
      <w:pPr>
        <w:spacing w:after="0" w:line="360" w:lineRule="auto"/>
        <w:ind w:firstLine="709"/>
        <w:jc w:val="both"/>
        <w:rPr>
          <w:rFonts w:ascii="Times New Roman" w:hAnsi="Times New Roman" w:cs="Times New Roman"/>
          <w:b/>
          <w:sz w:val="26"/>
          <w:szCs w:val="26"/>
        </w:rPr>
      </w:pPr>
      <w:r w:rsidRPr="00EB7E02">
        <w:rPr>
          <w:rFonts w:ascii="Times New Roman" w:hAnsi="Times New Roman" w:cs="Times New Roman"/>
          <w:b/>
          <w:sz w:val="26"/>
          <w:szCs w:val="26"/>
        </w:rPr>
        <w:t>Рынок услуг психолого-педагогического сопровождения детей с ограниченными возможностями здоровья</w:t>
      </w:r>
      <w:r w:rsidR="00725F73" w:rsidRPr="00EB7E02">
        <w:rPr>
          <w:rFonts w:ascii="Times New Roman" w:hAnsi="Times New Roman" w:cs="Times New Roman"/>
          <w:b/>
          <w:sz w:val="26"/>
          <w:szCs w:val="26"/>
        </w:rPr>
        <w:t>.</w:t>
      </w:r>
    </w:p>
    <w:p w:rsidR="00725F73" w:rsidRPr="00725F73" w:rsidRDefault="00725F73" w:rsidP="005C1731">
      <w:pPr>
        <w:spacing w:after="0" w:line="360" w:lineRule="auto"/>
        <w:ind w:firstLine="708"/>
        <w:jc w:val="both"/>
        <w:rPr>
          <w:rFonts w:ascii="Times New Roman" w:eastAsia="Times New Roman" w:hAnsi="Times New Roman" w:cs="Times New Roman"/>
          <w:sz w:val="24"/>
          <w:szCs w:val="24"/>
          <w:lang w:eastAsia="ru-RU"/>
        </w:rPr>
      </w:pPr>
      <w:r w:rsidRPr="00725F73">
        <w:rPr>
          <w:rFonts w:ascii="Times New Roman" w:eastAsia="Times New Roman" w:hAnsi="Times New Roman" w:cs="Times New Roman"/>
          <w:sz w:val="24"/>
          <w:szCs w:val="24"/>
          <w:lang w:eastAsia="ru-RU"/>
        </w:rPr>
        <w:t>Психолого-педагогического сопровождения детей с ограниченными возможностями здоровья осуществляют педагоги-психологи, социальные педагоги в 16 образовательных учреждениях, подведомственных Комитету по образованию.</w:t>
      </w:r>
    </w:p>
    <w:p w:rsidR="00725F73" w:rsidRPr="00725F73" w:rsidRDefault="00725F73" w:rsidP="00725F73">
      <w:pPr>
        <w:spacing w:after="0" w:line="360" w:lineRule="auto"/>
        <w:ind w:firstLine="708"/>
        <w:jc w:val="both"/>
        <w:rPr>
          <w:rFonts w:ascii="Times New Roman" w:eastAsia="Times New Roman" w:hAnsi="Times New Roman" w:cs="Times New Roman"/>
          <w:sz w:val="24"/>
          <w:szCs w:val="24"/>
          <w:lang w:eastAsia="ru-RU"/>
        </w:rPr>
      </w:pPr>
      <w:r w:rsidRPr="00725F73">
        <w:rPr>
          <w:rFonts w:ascii="Times New Roman" w:eastAsia="Times New Roman" w:hAnsi="Times New Roman" w:cs="Times New Roman"/>
          <w:sz w:val="24"/>
          <w:szCs w:val="24"/>
          <w:lang w:eastAsia="ru-RU"/>
        </w:rPr>
        <w:t xml:space="preserve"> Одним их механизмов повышение эффективности психолого-педагогического сопровождения обучающихся общеобразовательных учреждений является деятельность психолого-медико-педагогической комиссии Белоярского района (далее</w:t>
      </w:r>
      <w:r w:rsidR="00D46B68">
        <w:rPr>
          <w:rFonts w:ascii="Times New Roman" w:eastAsia="Times New Roman" w:hAnsi="Times New Roman" w:cs="Times New Roman"/>
          <w:sz w:val="24"/>
          <w:szCs w:val="24"/>
          <w:lang w:eastAsia="ru-RU"/>
        </w:rPr>
        <w:t xml:space="preserve"> </w:t>
      </w:r>
      <w:r w:rsidRPr="00725F73">
        <w:rPr>
          <w:rFonts w:ascii="Times New Roman" w:eastAsia="Times New Roman" w:hAnsi="Times New Roman" w:cs="Times New Roman"/>
          <w:sz w:val="24"/>
          <w:szCs w:val="24"/>
          <w:lang w:eastAsia="ru-RU"/>
        </w:rPr>
        <w:t xml:space="preserve">- ПМПК). Деятельность комиссии включает раннюю помощь детям от рождения до 3 лет, организация коррекционно - развивающей работы, информационно-аналитической и просветительской деятельности, межведомственное взаимодействие с организациями и учреждениями. </w:t>
      </w:r>
    </w:p>
    <w:p w:rsidR="00725F73" w:rsidRPr="00725F73" w:rsidRDefault="00725F73" w:rsidP="00725F73">
      <w:pPr>
        <w:spacing w:after="0" w:line="360" w:lineRule="auto"/>
        <w:ind w:firstLine="708"/>
        <w:jc w:val="both"/>
        <w:rPr>
          <w:rFonts w:ascii="Times New Roman" w:eastAsia="Times New Roman" w:hAnsi="Times New Roman" w:cs="Times New Roman"/>
          <w:sz w:val="24"/>
          <w:szCs w:val="24"/>
          <w:lang w:eastAsia="ru-RU"/>
        </w:rPr>
      </w:pPr>
      <w:r w:rsidRPr="00725F73">
        <w:rPr>
          <w:rFonts w:ascii="Times New Roman" w:eastAsia="Times New Roman" w:hAnsi="Times New Roman" w:cs="Times New Roman"/>
          <w:sz w:val="24"/>
          <w:szCs w:val="24"/>
          <w:lang w:eastAsia="ru-RU"/>
        </w:rPr>
        <w:t>За 10 месяцев 2017 года комиссией ПМПК обследовано и дано рекомендаций 189 детям дошкольного и школьного возраста. В соответствии с федеральным государственным образовательным стандартом для обучающихся с ограниченными возможностями здоровья и детям инвалидах (ФГОС ОВЗ) для каждого из них сформирована индивидуальная профилактическая программа (ИПР).</w:t>
      </w:r>
    </w:p>
    <w:p w:rsidR="00725F73" w:rsidRPr="00725F73" w:rsidRDefault="00725F73" w:rsidP="00725F73">
      <w:pPr>
        <w:spacing w:after="0" w:line="360" w:lineRule="auto"/>
        <w:ind w:firstLine="708"/>
        <w:jc w:val="both"/>
        <w:rPr>
          <w:rFonts w:ascii="Times New Roman" w:eastAsia="Times New Roman" w:hAnsi="Times New Roman" w:cs="Times New Roman"/>
          <w:sz w:val="24"/>
          <w:szCs w:val="24"/>
          <w:lang w:eastAsia="ru-RU"/>
        </w:rPr>
      </w:pPr>
      <w:r w:rsidRPr="00725F73">
        <w:rPr>
          <w:rFonts w:ascii="Times New Roman" w:eastAsia="Times New Roman" w:hAnsi="Times New Roman" w:cs="Times New Roman"/>
          <w:sz w:val="24"/>
          <w:szCs w:val="24"/>
          <w:lang w:eastAsia="ru-RU"/>
        </w:rPr>
        <w:t>В сентябре 2017 года местная общественная организация Коррекционно- развивающий центр «</w:t>
      </w:r>
      <w:proofErr w:type="spellStart"/>
      <w:r w:rsidRPr="00725F73">
        <w:rPr>
          <w:rFonts w:ascii="Times New Roman" w:eastAsia="Times New Roman" w:hAnsi="Times New Roman" w:cs="Times New Roman"/>
          <w:sz w:val="24"/>
          <w:szCs w:val="24"/>
          <w:lang w:eastAsia="ru-RU"/>
        </w:rPr>
        <w:t>ЛогоПлюс</w:t>
      </w:r>
      <w:proofErr w:type="spellEnd"/>
      <w:r w:rsidRPr="00725F73">
        <w:rPr>
          <w:rFonts w:ascii="Times New Roman" w:eastAsia="Times New Roman" w:hAnsi="Times New Roman" w:cs="Times New Roman"/>
          <w:sz w:val="24"/>
          <w:szCs w:val="24"/>
          <w:lang w:eastAsia="ru-RU"/>
        </w:rPr>
        <w:t xml:space="preserve">» Белоярского района включена в перечень организаций, оказывающих комплексную помощь детям с расстройствами аутистического спектра на территории Белоярского района. Одной </w:t>
      </w:r>
      <w:proofErr w:type="gramStart"/>
      <w:r w:rsidRPr="00725F73">
        <w:rPr>
          <w:rFonts w:ascii="Times New Roman" w:eastAsia="Times New Roman" w:hAnsi="Times New Roman" w:cs="Times New Roman"/>
          <w:sz w:val="24"/>
          <w:szCs w:val="24"/>
          <w:lang w:eastAsia="ru-RU"/>
        </w:rPr>
        <w:t>из целью</w:t>
      </w:r>
      <w:proofErr w:type="gramEnd"/>
      <w:r w:rsidRPr="00725F73">
        <w:rPr>
          <w:rFonts w:ascii="Times New Roman" w:eastAsia="Times New Roman" w:hAnsi="Times New Roman" w:cs="Times New Roman"/>
          <w:sz w:val="24"/>
          <w:szCs w:val="24"/>
          <w:lang w:eastAsia="ru-RU"/>
        </w:rPr>
        <w:t xml:space="preserve"> организации является содействие адаптации, интеграции и индивидуальному развитию детей с ограниченными возможностями здоровья.  В данном центре услугу по психолого-педагогическому сопровождению получают 9 детей.</w:t>
      </w:r>
    </w:p>
    <w:p w:rsidR="00725F73" w:rsidRDefault="00725F73" w:rsidP="00725F73">
      <w:pPr>
        <w:spacing w:after="0" w:line="360" w:lineRule="auto"/>
        <w:ind w:firstLine="708"/>
        <w:jc w:val="both"/>
        <w:rPr>
          <w:rFonts w:ascii="Times New Roman" w:eastAsia="Times New Roman" w:hAnsi="Times New Roman" w:cs="Times New Roman"/>
          <w:sz w:val="24"/>
          <w:szCs w:val="24"/>
          <w:lang w:eastAsia="ru-RU"/>
        </w:rPr>
      </w:pPr>
      <w:r w:rsidRPr="00725F73">
        <w:rPr>
          <w:rFonts w:ascii="Times New Roman" w:eastAsia="Times New Roman" w:hAnsi="Times New Roman" w:cs="Times New Roman"/>
          <w:sz w:val="24"/>
          <w:szCs w:val="24"/>
          <w:lang w:eastAsia="ru-RU"/>
        </w:rPr>
        <w:t>С целью межведомственного сотрудничества, обмена опытом работы с детьми-инвалидами, обучающимся с ограниченными возможностями здоровья руководитель центра   «</w:t>
      </w:r>
      <w:proofErr w:type="spellStart"/>
      <w:r w:rsidRPr="00725F73">
        <w:rPr>
          <w:rFonts w:ascii="Times New Roman" w:eastAsia="Times New Roman" w:hAnsi="Times New Roman" w:cs="Times New Roman"/>
          <w:sz w:val="24"/>
          <w:szCs w:val="24"/>
          <w:lang w:eastAsia="ru-RU"/>
        </w:rPr>
        <w:t>ЛогоПлюс</w:t>
      </w:r>
      <w:proofErr w:type="spellEnd"/>
      <w:r w:rsidRPr="00725F73">
        <w:rPr>
          <w:rFonts w:ascii="Times New Roman" w:eastAsia="Times New Roman" w:hAnsi="Times New Roman" w:cs="Times New Roman"/>
          <w:sz w:val="24"/>
          <w:szCs w:val="24"/>
          <w:lang w:eastAsia="ru-RU"/>
        </w:rPr>
        <w:t>» приглашена к участию в мероприятиях, проводимых педагогическими сообществами: районным методическим объединением педагогов-психологов, районным методическим объединением учителей-логопедов и учителей-дефектологов.</w:t>
      </w:r>
    </w:p>
    <w:p w:rsidR="007F329E" w:rsidRDefault="007F329E" w:rsidP="007F32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данным социологического исследования состояния и развития конкурентной среды на рынках товаров и услуг в автономном округе в Белоярском районе:</w:t>
      </w:r>
    </w:p>
    <w:p w:rsidR="007F329E" w:rsidRDefault="007F329E" w:rsidP="00725F73">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уровнем цен удовлетворены 37,5% опрошенных, скорее удовлетворены 46,9%;</w:t>
      </w:r>
    </w:p>
    <w:p w:rsidR="007F329E" w:rsidRDefault="007F329E" w:rsidP="00725F73">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качеством услуг психолого-педагогического сопровождения детей с ограниченными возможностями здоровья удовлетворены 54,3% опрошенных, скорее удовлетворены 44,7%;</w:t>
      </w:r>
    </w:p>
    <w:p w:rsidR="007F329E" w:rsidRDefault="007F329E" w:rsidP="00725F73">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возможностью выбора удовлетворены 26,2% опрошенных, скорее удовлетворены 67,9%.</w:t>
      </w:r>
    </w:p>
    <w:p w:rsidR="00725F73" w:rsidRPr="00725F73" w:rsidRDefault="00725F73" w:rsidP="00EB7E02">
      <w:pPr>
        <w:spacing w:after="0" w:line="360" w:lineRule="auto"/>
        <w:ind w:firstLine="709"/>
        <w:jc w:val="both"/>
        <w:rPr>
          <w:rFonts w:ascii="Times New Roman" w:eastAsia="Times New Roman" w:hAnsi="Times New Roman" w:cs="Times New Roman"/>
          <w:b/>
          <w:sz w:val="24"/>
          <w:szCs w:val="24"/>
          <w:lang w:eastAsia="ru-RU"/>
        </w:rPr>
      </w:pPr>
      <w:r w:rsidRPr="00725F73">
        <w:rPr>
          <w:rFonts w:ascii="Times New Roman" w:eastAsia="Times New Roman" w:hAnsi="Times New Roman" w:cs="Times New Roman"/>
          <w:b/>
          <w:sz w:val="24"/>
          <w:szCs w:val="24"/>
          <w:lang w:eastAsia="ru-RU"/>
        </w:rPr>
        <w:t>Административные барьеры, ограничивающие конкуренцию в системе образования</w:t>
      </w:r>
      <w:r>
        <w:rPr>
          <w:rFonts w:ascii="Times New Roman" w:eastAsia="Times New Roman" w:hAnsi="Times New Roman" w:cs="Times New Roman"/>
          <w:b/>
          <w:sz w:val="24"/>
          <w:szCs w:val="24"/>
          <w:lang w:eastAsia="ru-RU"/>
        </w:rPr>
        <w:t>,</w:t>
      </w:r>
      <w:r w:rsidRPr="00725F73">
        <w:rPr>
          <w:rFonts w:ascii="Times New Roman" w:eastAsia="Times New Roman" w:hAnsi="Times New Roman" w:cs="Times New Roman"/>
          <w:b/>
          <w:sz w:val="24"/>
          <w:szCs w:val="24"/>
          <w:lang w:eastAsia="ru-RU"/>
        </w:rPr>
        <w:t xml:space="preserve"> отсутствуют. </w:t>
      </w:r>
    </w:p>
    <w:p w:rsidR="00725F73" w:rsidRPr="00725F73" w:rsidRDefault="00725F73" w:rsidP="009A6AB5">
      <w:pPr>
        <w:spacing w:after="0" w:line="360" w:lineRule="auto"/>
        <w:ind w:firstLine="709"/>
        <w:jc w:val="both"/>
        <w:rPr>
          <w:rFonts w:ascii="Times New Roman" w:eastAsia="Times New Roman" w:hAnsi="Times New Roman" w:cs="Times New Roman"/>
          <w:sz w:val="24"/>
          <w:szCs w:val="24"/>
          <w:lang w:eastAsia="ru-RU"/>
        </w:rPr>
      </w:pPr>
      <w:r w:rsidRPr="00725F73">
        <w:rPr>
          <w:rFonts w:ascii="Times New Roman" w:eastAsia="Times New Roman" w:hAnsi="Times New Roman" w:cs="Times New Roman"/>
          <w:sz w:val="24"/>
          <w:szCs w:val="24"/>
          <w:lang w:eastAsia="ru-RU"/>
        </w:rPr>
        <w:t xml:space="preserve">С целью получения оперативной информации о качестве работы образовательных учреждений Белоярского района по различным направлениям деятельности на официальном сайте Комитета по образованию </w:t>
      </w:r>
      <w:hyperlink r:id="rId6" w:history="1">
        <w:r w:rsidRPr="00725F73">
          <w:rPr>
            <w:rFonts w:ascii="Times New Roman" w:eastAsia="Times New Roman" w:hAnsi="Times New Roman" w:cs="Times New Roman"/>
            <w:color w:val="0000FF"/>
            <w:sz w:val="24"/>
            <w:szCs w:val="24"/>
            <w:u w:val="single"/>
            <w:lang w:eastAsia="ru-RU"/>
          </w:rPr>
          <w:t>http://www.beledu.ru/opros-naselen</w:t>
        </w:r>
      </w:hyperlink>
      <w:r w:rsidRPr="00725F73">
        <w:rPr>
          <w:rFonts w:ascii="Times New Roman" w:eastAsia="Times New Roman" w:hAnsi="Times New Roman" w:cs="Times New Roman"/>
          <w:sz w:val="24"/>
          <w:szCs w:val="24"/>
          <w:lang w:eastAsia="ru-RU"/>
        </w:rPr>
        <w:t xml:space="preserve"> размещен онлайн-опросник (анкета) мнения родит</w:t>
      </w:r>
      <w:r w:rsidR="000E74BA">
        <w:rPr>
          <w:rFonts w:ascii="Times New Roman" w:eastAsia="Times New Roman" w:hAnsi="Times New Roman" w:cs="Times New Roman"/>
          <w:sz w:val="24"/>
          <w:szCs w:val="24"/>
          <w:lang w:eastAsia="ru-RU"/>
        </w:rPr>
        <w:t>елей (законных представителей) о доступности и качестве услуг, предоставляемых образовательными учреждениями</w:t>
      </w:r>
      <w:r w:rsidRPr="00725F73">
        <w:rPr>
          <w:rFonts w:ascii="Times New Roman" w:eastAsia="Times New Roman" w:hAnsi="Times New Roman" w:cs="Times New Roman"/>
          <w:sz w:val="24"/>
          <w:szCs w:val="24"/>
          <w:lang w:eastAsia="ru-RU"/>
        </w:rPr>
        <w:t>.</w:t>
      </w:r>
      <w:bookmarkStart w:id="0" w:name="_GoBack"/>
      <w:bookmarkEnd w:id="0"/>
    </w:p>
    <w:p w:rsidR="00725F73" w:rsidRDefault="00725F73" w:rsidP="00725F73">
      <w:pPr>
        <w:spacing w:after="0" w:line="360" w:lineRule="auto"/>
        <w:ind w:firstLine="709"/>
        <w:jc w:val="both"/>
        <w:rPr>
          <w:rFonts w:ascii="Times New Roman" w:eastAsia="Times New Roman" w:hAnsi="Times New Roman" w:cs="Times New Roman"/>
          <w:sz w:val="24"/>
          <w:szCs w:val="24"/>
          <w:lang w:eastAsia="ru-RU"/>
        </w:rPr>
      </w:pPr>
      <w:r w:rsidRPr="00725F73">
        <w:rPr>
          <w:rFonts w:ascii="Times New Roman" w:eastAsia="Times New Roman" w:hAnsi="Times New Roman" w:cs="Times New Roman"/>
          <w:sz w:val="24"/>
          <w:szCs w:val="24"/>
          <w:lang w:eastAsia="ru-RU"/>
        </w:rPr>
        <w:t>Для всестороннего изучения вопросов развития, функционирования муниципальной системы образования Белоярского района ежегодно проводятся опрос потребителей на степень удовлетворенности качеством предоставляемых муниципальных услуг. Опрос проводится в рамках про</w:t>
      </w:r>
      <w:r w:rsidR="009B630D">
        <w:rPr>
          <w:rFonts w:ascii="Times New Roman" w:eastAsia="Times New Roman" w:hAnsi="Times New Roman" w:cs="Times New Roman"/>
          <w:sz w:val="24"/>
          <w:szCs w:val="24"/>
          <w:lang w:eastAsia="ru-RU"/>
        </w:rPr>
        <w:t xml:space="preserve">верки </w:t>
      </w:r>
      <w:r w:rsidRPr="00725F73">
        <w:rPr>
          <w:rFonts w:ascii="Times New Roman" w:eastAsia="Times New Roman" w:hAnsi="Times New Roman" w:cs="Times New Roman"/>
          <w:sz w:val="24"/>
          <w:szCs w:val="24"/>
          <w:lang w:eastAsia="ru-RU"/>
        </w:rPr>
        <w:t>о соблюдени</w:t>
      </w:r>
      <w:r w:rsidR="009B630D">
        <w:rPr>
          <w:rFonts w:ascii="Times New Roman" w:eastAsia="Times New Roman" w:hAnsi="Times New Roman" w:cs="Times New Roman"/>
          <w:sz w:val="24"/>
          <w:szCs w:val="24"/>
          <w:lang w:eastAsia="ru-RU"/>
        </w:rPr>
        <w:t>и</w:t>
      </w:r>
      <w:r w:rsidRPr="00725F73">
        <w:rPr>
          <w:rFonts w:ascii="Times New Roman" w:eastAsia="Times New Roman" w:hAnsi="Times New Roman" w:cs="Times New Roman"/>
          <w:sz w:val="24"/>
          <w:szCs w:val="24"/>
          <w:lang w:eastAsia="ru-RU"/>
        </w:rPr>
        <w:t xml:space="preserve"> стандартов качества предоставления муниципальных услуг муниципальными учреждениями Белоярского района, подведомственными Комитету по образованию. Опрос, представляет собой метод сбора информации, ответов респондентов, с присвоением значени</w:t>
      </w:r>
      <w:r w:rsidR="009B630D">
        <w:rPr>
          <w:rFonts w:ascii="Times New Roman" w:eastAsia="Times New Roman" w:hAnsi="Times New Roman" w:cs="Times New Roman"/>
          <w:sz w:val="24"/>
          <w:szCs w:val="24"/>
          <w:lang w:eastAsia="ru-RU"/>
        </w:rPr>
        <w:t>я</w:t>
      </w:r>
      <w:r w:rsidRPr="00725F73">
        <w:rPr>
          <w:rFonts w:ascii="Times New Roman" w:eastAsia="Times New Roman" w:hAnsi="Times New Roman" w:cs="Times New Roman"/>
          <w:sz w:val="24"/>
          <w:szCs w:val="24"/>
          <w:lang w:eastAsia="ru-RU"/>
        </w:rPr>
        <w:t xml:space="preserve"> «соответствует или не соответствует стандарту качества муниципальной услуги». Результаты опроса по значению «соответствует стандарту качества» в ретроспективе выглядят следующим образом: 2014 год-94%, 2015 год -96%, 2016 год - 98%.</w:t>
      </w:r>
    </w:p>
    <w:p w:rsidR="009A6AB5" w:rsidRPr="009A6AB5" w:rsidRDefault="009A6AB5" w:rsidP="00EB7E02">
      <w:pPr>
        <w:spacing w:after="0" w:line="360" w:lineRule="auto"/>
        <w:ind w:firstLine="709"/>
        <w:jc w:val="both"/>
        <w:rPr>
          <w:rFonts w:ascii="Times New Roman" w:eastAsia="Times New Roman" w:hAnsi="Times New Roman" w:cs="Times New Roman"/>
          <w:b/>
          <w:sz w:val="24"/>
          <w:szCs w:val="24"/>
          <w:lang w:eastAsia="ru-RU"/>
        </w:rPr>
      </w:pPr>
      <w:r w:rsidRPr="009A6AB5">
        <w:rPr>
          <w:rFonts w:ascii="Times New Roman" w:eastAsia="Times New Roman" w:hAnsi="Times New Roman" w:cs="Times New Roman"/>
          <w:b/>
          <w:sz w:val="24"/>
          <w:szCs w:val="24"/>
          <w:lang w:eastAsia="ru-RU"/>
        </w:rPr>
        <w:t>Целевые показатели муниципальной системы образования по содействию развитию конкуренции на социально значимых рынках товаров и услуг за 2017 год достигнуты.</w:t>
      </w:r>
    </w:p>
    <w:p w:rsidR="00D43EF4" w:rsidRPr="00D43EF4" w:rsidRDefault="00D43EF4" w:rsidP="00E27963">
      <w:pPr>
        <w:spacing w:after="0" w:line="360" w:lineRule="auto"/>
        <w:ind w:firstLine="709"/>
        <w:jc w:val="both"/>
        <w:rPr>
          <w:rFonts w:ascii="Times New Roman" w:eastAsia="Times New Roman" w:hAnsi="Times New Roman" w:cs="Times New Roman"/>
          <w:sz w:val="24"/>
          <w:szCs w:val="24"/>
          <w:lang w:eastAsia="ru-RU"/>
        </w:rPr>
      </w:pPr>
      <w:r w:rsidRPr="00D43EF4">
        <w:rPr>
          <w:rFonts w:ascii="Times New Roman" w:eastAsia="Times New Roman" w:hAnsi="Times New Roman" w:cs="Times New Roman"/>
          <w:sz w:val="24"/>
          <w:szCs w:val="24"/>
          <w:lang w:eastAsia="ru-RU"/>
        </w:rPr>
        <w:t xml:space="preserve">Одним </w:t>
      </w:r>
      <w:r w:rsidR="009B630D">
        <w:rPr>
          <w:rFonts w:ascii="Times New Roman" w:eastAsia="Times New Roman" w:hAnsi="Times New Roman" w:cs="Times New Roman"/>
          <w:sz w:val="24"/>
          <w:szCs w:val="24"/>
          <w:lang w:eastAsia="ru-RU"/>
        </w:rPr>
        <w:t xml:space="preserve">из </w:t>
      </w:r>
      <w:r w:rsidRPr="00D43EF4">
        <w:rPr>
          <w:rFonts w:ascii="Times New Roman" w:eastAsia="Times New Roman" w:hAnsi="Times New Roman" w:cs="Times New Roman"/>
          <w:sz w:val="24"/>
          <w:szCs w:val="24"/>
          <w:lang w:eastAsia="ru-RU"/>
        </w:rPr>
        <w:t>механизмов эффективности и результативности деятельности органов местного самоуправления в области содействия развитию конкуренции является открытость и доступность информации о деятельности негосударственных учреждений не только на официальных сайтах учреждений государственных органов, но и широкое освещение деятельности негосударственного сектора в средствах массовой информации (публикации в газете, передачи на телевидение).</w:t>
      </w:r>
    </w:p>
    <w:p w:rsidR="00725F73" w:rsidRDefault="00725F73" w:rsidP="00725F73">
      <w:pPr>
        <w:spacing w:line="360" w:lineRule="auto"/>
        <w:rPr>
          <w:rFonts w:ascii="Times New Roman" w:hAnsi="Times New Roman" w:cs="Times New Roman"/>
          <w:sz w:val="24"/>
          <w:szCs w:val="24"/>
        </w:rPr>
      </w:pPr>
    </w:p>
    <w:p w:rsidR="00725F73" w:rsidRDefault="00725F73" w:rsidP="00A40C28">
      <w:pPr>
        <w:spacing w:after="0" w:line="360" w:lineRule="auto"/>
        <w:rPr>
          <w:rFonts w:ascii="Times New Roman" w:hAnsi="Times New Roman" w:cs="Times New Roman"/>
          <w:b/>
          <w:sz w:val="26"/>
          <w:szCs w:val="26"/>
        </w:rPr>
      </w:pPr>
      <w:r w:rsidRPr="00EB7E02">
        <w:rPr>
          <w:rFonts w:ascii="Times New Roman" w:hAnsi="Times New Roman" w:cs="Times New Roman"/>
          <w:b/>
          <w:sz w:val="26"/>
          <w:szCs w:val="26"/>
        </w:rPr>
        <w:t>Рынок услуг детского отдыха и оздоровления</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Рынок услуг детского отдыха и оздоровления также определен как социально значимый рынок товаров, работ и услуг.</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В 2017 году на территории Белоярского района работали 22 организации отдыха детей и их оздоровления, в которых отдохнули 3047 детей (2016 год – 21 /2928), что на 1 организацию и 119 детей больше, чем в предыдущем году.</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 xml:space="preserve">За пределами района отдых детей был организован по путевкам, приобретенным уполномоченным органом Белоярского района и по путевкам ООО </w:t>
      </w:r>
      <w:r>
        <w:rPr>
          <w:rFonts w:ascii="Times New Roman" w:eastAsia="Times New Roman" w:hAnsi="Times New Roman" w:cs="Times New Roman"/>
          <w:sz w:val="24"/>
          <w:szCs w:val="24"/>
          <w:lang w:eastAsia="ru-RU"/>
        </w:rPr>
        <w:t>«</w:t>
      </w:r>
      <w:r w:rsidRPr="00A40C28">
        <w:rPr>
          <w:rFonts w:ascii="Times New Roman" w:eastAsia="Times New Roman" w:hAnsi="Times New Roman" w:cs="Times New Roman"/>
          <w:sz w:val="24"/>
          <w:szCs w:val="24"/>
          <w:lang w:eastAsia="ru-RU"/>
        </w:rPr>
        <w:t>Газпром трансгаз Югорск</w:t>
      </w:r>
      <w:r>
        <w:rPr>
          <w:rFonts w:ascii="Times New Roman" w:eastAsia="Times New Roman" w:hAnsi="Times New Roman" w:cs="Times New Roman"/>
          <w:sz w:val="24"/>
          <w:szCs w:val="24"/>
          <w:lang w:eastAsia="ru-RU"/>
        </w:rPr>
        <w:t>»</w:t>
      </w:r>
      <w:r w:rsidRPr="00A40C28">
        <w:rPr>
          <w:rFonts w:ascii="Times New Roman" w:eastAsia="Times New Roman" w:hAnsi="Times New Roman" w:cs="Times New Roman"/>
          <w:sz w:val="24"/>
          <w:szCs w:val="24"/>
          <w:lang w:eastAsia="ru-RU"/>
        </w:rPr>
        <w:t>. Всего отдохнул</w:t>
      </w:r>
      <w:r>
        <w:rPr>
          <w:rFonts w:ascii="Times New Roman" w:eastAsia="Times New Roman" w:hAnsi="Times New Roman" w:cs="Times New Roman"/>
          <w:sz w:val="24"/>
          <w:szCs w:val="24"/>
          <w:lang w:eastAsia="ru-RU"/>
        </w:rPr>
        <w:t>и</w:t>
      </w:r>
      <w:r w:rsidRPr="00A40C28">
        <w:rPr>
          <w:rFonts w:ascii="Times New Roman" w:eastAsia="Times New Roman" w:hAnsi="Times New Roman" w:cs="Times New Roman"/>
          <w:sz w:val="24"/>
          <w:szCs w:val="24"/>
          <w:lang w:eastAsia="ru-RU"/>
        </w:rPr>
        <w:t xml:space="preserve"> 392 ребенка (2016 год – 372).</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Всего организованными формами отдыха и оздоровления были охвачены 3439 детей  /92,2% от общей численности  детей школьного возраста (2016 год -3300 / 89,8%).</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Из 22 организаций, оказывавших услуги по организации отдыха и оздоровления детей, 3 являются негосударственными (немуниципальными). Это:</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 детское этнокультурное стойбище «</w:t>
      </w:r>
      <w:proofErr w:type="spellStart"/>
      <w:r w:rsidRPr="00A40C28">
        <w:rPr>
          <w:rFonts w:ascii="Times New Roman" w:eastAsia="Times New Roman" w:hAnsi="Times New Roman" w:cs="Times New Roman"/>
          <w:sz w:val="24"/>
          <w:szCs w:val="24"/>
          <w:lang w:eastAsia="ru-RU"/>
        </w:rPr>
        <w:t>Нумсанг</w:t>
      </w:r>
      <w:proofErr w:type="spellEnd"/>
      <w:r w:rsidRPr="00A40C28">
        <w:rPr>
          <w:rFonts w:ascii="Times New Roman" w:eastAsia="Times New Roman" w:hAnsi="Times New Roman" w:cs="Times New Roman"/>
          <w:sz w:val="24"/>
          <w:szCs w:val="24"/>
          <w:lang w:eastAsia="ru-RU"/>
        </w:rPr>
        <w:t xml:space="preserve"> </w:t>
      </w:r>
      <w:proofErr w:type="spellStart"/>
      <w:r w:rsidRPr="00A40C28">
        <w:rPr>
          <w:rFonts w:ascii="Times New Roman" w:eastAsia="Times New Roman" w:hAnsi="Times New Roman" w:cs="Times New Roman"/>
          <w:sz w:val="24"/>
          <w:szCs w:val="24"/>
          <w:lang w:eastAsia="ru-RU"/>
        </w:rPr>
        <w:t>ёх</w:t>
      </w:r>
      <w:proofErr w:type="spellEnd"/>
      <w:r w:rsidRPr="00A40C28">
        <w:rPr>
          <w:rFonts w:ascii="Times New Roman" w:eastAsia="Times New Roman" w:hAnsi="Times New Roman" w:cs="Times New Roman"/>
          <w:sz w:val="24"/>
          <w:szCs w:val="24"/>
          <w:lang w:eastAsia="ru-RU"/>
        </w:rPr>
        <w:t>» (палаточный лагерь), организуемое ИП Федотова, в котором отдохнули 90 детей (2016 год – 90);</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 xml:space="preserve"> - детское этнокультурное стойбище «Ас ушан </w:t>
      </w:r>
      <w:proofErr w:type="spellStart"/>
      <w:r w:rsidRPr="00A40C28">
        <w:rPr>
          <w:rFonts w:ascii="Times New Roman" w:eastAsia="Times New Roman" w:hAnsi="Times New Roman" w:cs="Times New Roman"/>
          <w:sz w:val="24"/>
          <w:szCs w:val="24"/>
          <w:lang w:eastAsia="ru-RU"/>
        </w:rPr>
        <w:t>няврэмат</w:t>
      </w:r>
      <w:proofErr w:type="spellEnd"/>
      <w:r w:rsidRPr="00A40C28">
        <w:rPr>
          <w:rFonts w:ascii="Times New Roman" w:eastAsia="Times New Roman" w:hAnsi="Times New Roman" w:cs="Times New Roman"/>
          <w:sz w:val="24"/>
          <w:szCs w:val="24"/>
          <w:lang w:eastAsia="ru-RU"/>
        </w:rPr>
        <w:t xml:space="preserve">», организуемое ИП </w:t>
      </w:r>
      <w:proofErr w:type="spellStart"/>
      <w:r w:rsidRPr="00A40C28">
        <w:rPr>
          <w:rFonts w:ascii="Times New Roman" w:eastAsia="Times New Roman" w:hAnsi="Times New Roman" w:cs="Times New Roman"/>
          <w:sz w:val="24"/>
          <w:szCs w:val="24"/>
          <w:lang w:eastAsia="ru-RU"/>
        </w:rPr>
        <w:t>Ирган</w:t>
      </w:r>
      <w:proofErr w:type="spellEnd"/>
      <w:r w:rsidRPr="00A40C28">
        <w:rPr>
          <w:rFonts w:ascii="Times New Roman" w:eastAsia="Times New Roman" w:hAnsi="Times New Roman" w:cs="Times New Roman"/>
          <w:sz w:val="24"/>
          <w:szCs w:val="24"/>
          <w:lang w:eastAsia="ru-RU"/>
        </w:rPr>
        <w:t>, в котором отдохнули 45 детей (2016 год – 45);</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 xml:space="preserve">- детский </w:t>
      </w:r>
      <w:proofErr w:type="spellStart"/>
      <w:r w:rsidRPr="00A40C28">
        <w:rPr>
          <w:rFonts w:ascii="Times New Roman" w:eastAsia="Times New Roman" w:hAnsi="Times New Roman" w:cs="Times New Roman"/>
          <w:sz w:val="24"/>
          <w:szCs w:val="24"/>
          <w:lang w:eastAsia="ru-RU"/>
        </w:rPr>
        <w:t>православно</w:t>
      </w:r>
      <w:proofErr w:type="spellEnd"/>
      <w:r w:rsidRPr="00A40C28">
        <w:rPr>
          <w:rFonts w:ascii="Times New Roman" w:eastAsia="Times New Roman" w:hAnsi="Times New Roman" w:cs="Times New Roman"/>
          <w:sz w:val="24"/>
          <w:szCs w:val="24"/>
          <w:lang w:eastAsia="ru-RU"/>
        </w:rPr>
        <w:t>-ориентированный лагерь «Витязь» с дневным пребыванием детей, организуемый на базе местной религиозной организации православного Прихода храма преподобного Серафима Саровского г. Белоярский, в котором отдохнули 25 детей (2016 год – 25).</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Поддержка негосударственных (немуниципальных) организаций, оказывавших услуги по организации отдыха детей, осуществлялась следующим образом.</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 xml:space="preserve">Приказом МАУ «База спорта и отдыха «Северянка» от 16 января 2017 года  № 3-о «О предоставлении грантов физическим и юридическим лицам на поддержку проектов по организации отдыха детей в детских </w:t>
      </w:r>
      <w:proofErr w:type="spellStart"/>
      <w:r w:rsidRPr="00A40C28">
        <w:rPr>
          <w:rFonts w:ascii="Times New Roman" w:eastAsia="Times New Roman" w:hAnsi="Times New Roman" w:cs="Times New Roman"/>
          <w:sz w:val="24"/>
          <w:szCs w:val="24"/>
          <w:lang w:eastAsia="ru-RU"/>
        </w:rPr>
        <w:t>этнооздоровительных</w:t>
      </w:r>
      <w:proofErr w:type="spellEnd"/>
      <w:r w:rsidRPr="00A40C28">
        <w:rPr>
          <w:rFonts w:ascii="Times New Roman" w:eastAsia="Times New Roman" w:hAnsi="Times New Roman" w:cs="Times New Roman"/>
          <w:sz w:val="24"/>
          <w:szCs w:val="24"/>
          <w:lang w:eastAsia="ru-RU"/>
        </w:rPr>
        <w:t xml:space="preserve"> центрах, </w:t>
      </w:r>
      <w:proofErr w:type="spellStart"/>
      <w:r w:rsidRPr="00A40C28">
        <w:rPr>
          <w:rFonts w:ascii="Times New Roman" w:eastAsia="Times New Roman" w:hAnsi="Times New Roman" w:cs="Times New Roman"/>
          <w:sz w:val="24"/>
          <w:szCs w:val="24"/>
          <w:lang w:eastAsia="ru-RU"/>
        </w:rPr>
        <w:t>этнолагерях</w:t>
      </w:r>
      <w:proofErr w:type="spellEnd"/>
      <w:r w:rsidRPr="00A40C28">
        <w:rPr>
          <w:rFonts w:ascii="Times New Roman" w:eastAsia="Times New Roman" w:hAnsi="Times New Roman" w:cs="Times New Roman"/>
          <w:sz w:val="24"/>
          <w:szCs w:val="24"/>
          <w:lang w:eastAsia="ru-RU"/>
        </w:rPr>
        <w:t xml:space="preserve">, на </w:t>
      </w:r>
      <w:proofErr w:type="spellStart"/>
      <w:r w:rsidRPr="00A40C28">
        <w:rPr>
          <w:rFonts w:ascii="Times New Roman" w:eastAsia="Times New Roman" w:hAnsi="Times New Roman" w:cs="Times New Roman"/>
          <w:sz w:val="24"/>
          <w:szCs w:val="24"/>
          <w:lang w:eastAsia="ru-RU"/>
        </w:rPr>
        <w:t>этноплощадках</w:t>
      </w:r>
      <w:proofErr w:type="spellEnd"/>
      <w:r w:rsidRPr="00A40C28">
        <w:rPr>
          <w:rFonts w:ascii="Times New Roman" w:eastAsia="Times New Roman" w:hAnsi="Times New Roman" w:cs="Times New Roman"/>
          <w:sz w:val="24"/>
          <w:szCs w:val="24"/>
          <w:lang w:eastAsia="ru-RU"/>
        </w:rPr>
        <w:t xml:space="preserve"> на территории Белоярского района в период детской оздоровительной кампании 2017 года» утверждено  Положение о конкурсе по предоставлению грантов физическим и юридическим лицам на поддержку проектов по организации отдыха детей в детских </w:t>
      </w:r>
      <w:proofErr w:type="spellStart"/>
      <w:r w:rsidRPr="00A40C28">
        <w:rPr>
          <w:rFonts w:ascii="Times New Roman" w:eastAsia="Times New Roman" w:hAnsi="Times New Roman" w:cs="Times New Roman"/>
          <w:sz w:val="24"/>
          <w:szCs w:val="24"/>
          <w:lang w:eastAsia="ru-RU"/>
        </w:rPr>
        <w:t>этнооздоровительных</w:t>
      </w:r>
      <w:proofErr w:type="spellEnd"/>
      <w:r w:rsidRPr="00A40C28">
        <w:rPr>
          <w:rFonts w:ascii="Times New Roman" w:eastAsia="Times New Roman" w:hAnsi="Times New Roman" w:cs="Times New Roman"/>
          <w:sz w:val="24"/>
          <w:szCs w:val="24"/>
          <w:lang w:eastAsia="ru-RU"/>
        </w:rPr>
        <w:t xml:space="preserve"> центрах, </w:t>
      </w:r>
      <w:proofErr w:type="spellStart"/>
      <w:r w:rsidRPr="00A40C28">
        <w:rPr>
          <w:rFonts w:ascii="Times New Roman" w:eastAsia="Times New Roman" w:hAnsi="Times New Roman" w:cs="Times New Roman"/>
          <w:sz w:val="24"/>
          <w:szCs w:val="24"/>
          <w:lang w:eastAsia="ru-RU"/>
        </w:rPr>
        <w:t>этнолагерях</w:t>
      </w:r>
      <w:proofErr w:type="spellEnd"/>
      <w:r w:rsidRPr="00A40C28">
        <w:rPr>
          <w:rFonts w:ascii="Times New Roman" w:eastAsia="Times New Roman" w:hAnsi="Times New Roman" w:cs="Times New Roman"/>
          <w:sz w:val="24"/>
          <w:szCs w:val="24"/>
          <w:lang w:eastAsia="ru-RU"/>
        </w:rPr>
        <w:t xml:space="preserve">, на </w:t>
      </w:r>
      <w:proofErr w:type="spellStart"/>
      <w:r w:rsidRPr="00A40C28">
        <w:rPr>
          <w:rFonts w:ascii="Times New Roman" w:eastAsia="Times New Roman" w:hAnsi="Times New Roman" w:cs="Times New Roman"/>
          <w:sz w:val="24"/>
          <w:szCs w:val="24"/>
          <w:lang w:eastAsia="ru-RU"/>
        </w:rPr>
        <w:t>этноплощадках</w:t>
      </w:r>
      <w:proofErr w:type="spellEnd"/>
      <w:r w:rsidRPr="00A40C28">
        <w:rPr>
          <w:rFonts w:ascii="Times New Roman" w:eastAsia="Times New Roman" w:hAnsi="Times New Roman" w:cs="Times New Roman"/>
          <w:sz w:val="24"/>
          <w:szCs w:val="24"/>
          <w:lang w:eastAsia="ru-RU"/>
        </w:rPr>
        <w:t xml:space="preserve"> на территории Белоярского района в период детской оздоровительной кампании. В конкурсе приняли участие 2 индивидуальных предпринимателя ИП Федотова (Детское этнокультурное стойбище «</w:t>
      </w:r>
      <w:proofErr w:type="spellStart"/>
      <w:r w:rsidRPr="00A40C28">
        <w:rPr>
          <w:rFonts w:ascii="Times New Roman" w:eastAsia="Times New Roman" w:hAnsi="Times New Roman" w:cs="Times New Roman"/>
          <w:sz w:val="24"/>
          <w:szCs w:val="24"/>
          <w:lang w:eastAsia="ru-RU"/>
        </w:rPr>
        <w:t>Нумсанг</w:t>
      </w:r>
      <w:proofErr w:type="spellEnd"/>
      <w:r w:rsidRPr="00A40C28">
        <w:rPr>
          <w:rFonts w:ascii="Times New Roman" w:eastAsia="Times New Roman" w:hAnsi="Times New Roman" w:cs="Times New Roman"/>
          <w:sz w:val="24"/>
          <w:szCs w:val="24"/>
          <w:lang w:eastAsia="ru-RU"/>
        </w:rPr>
        <w:t xml:space="preserve"> </w:t>
      </w:r>
      <w:proofErr w:type="spellStart"/>
      <w:r w:rsidRPr="00A40C28">
        <w:rPr>
          <w:rFonts w:ascii="Times New Roman" w:eastAsia="Times New Roman" w:hAnsi="Times New Roman" w:cs="Times New Roman"/>
          <w:sz w:val="24"/>
          <w:szCs w:val="24"/>
          <w:lang w:eastAsia="ru-RU"/>
        </w:rPr>
        <w:t>ёх</w:t>
      </w:r>
      <w:proofErr w:type="spellEnd"/>
      <w:r w:rsidRPr="00A40C28">
        <w:rPr>
          <w:rFonts w:ascii="Times New Roman" w:eastAsia="Times New Roman" w:hAnsi="Times New Roman" w:cs="Times New Roman"/>
          <w:sz w:val="24"/>
          <w:szCs w:val="24"/>
          <w:lang w:eastAsia="ru-RU"/>
        </w:rPr>
        <w:t xml:space="preserve">», 4 смены, общий охват детей 90 человек) и ИП </w:t>
      </w:r>
      <w:proofErr w:type="spellStart"/>
      <w:r w:rsidRPr="00A40C28">
        <w:rPr>
          <w:rFonts w:ascii="Times New Roman" w:eastAsia="Times New Roman" w:hAnsi="Times New Roman" w:cs="Times New Roman"/>
          <w:sz w:val="24"/>
          <w:szCs w:val="24"/>
          <w:lang w:eastAsia="ru-RU"/>
        </w:rPr>
        <w:t>Ирган</w:t>
      </w:r>
      <w:proofErr w:type="spellEnd"/>
      <w:r w:rsidRPr="00A40C28">
        <w:rPr>
          <w:rFonts w:ascii="Times New Roman" w:eastAsia="Times New Roman" w:hAnsi="Times New Roman" w:cs="Times New Roman"/>
          <w:sz w:val="24"/>
          <w:szCs w:val="24"/>
          <w:lang w:eastAsia="ru-RU"/>
        </w:rPr>
        <w:t xml:space="preserve"> (Детское этнокультурное стойбище «Ас ушан </w:t>
      </w:r>
      <w:proofErr w:type="spellStart"/>
      <w:r w:rsidRPr="00A40C28">
        <w:rPr>
          <w:rFonts w:ascii="Times New Roman" w:eastAsia="Times New Roman" w:hAnsi="Times New Roman" w:cs="Times New Roman"/>
          <w:sz w:val="24"/>
          <w:szCs w:val="24"/>
          <w:lang w:eastAsia="ru-RU"/>
        </w:rPr>
        <w:t>няврэмат</w:t>
      </w:r>
      <w:proofErr w:type="spellEnd"/>
      <w:r w:rsidRPr="00A40C28">
        <w:rPr>
          <w:rFonts w:ascii="Times New Roman" w:eastAsia="Times New Roman" w:hAnsi="Times New Roman" w:cs="Times New Roman"/>
          <w:sz w:val="24"/>
          <w:szCs w:val="24"/>
          <w:lang w:eastAsia="ru-RU"/>
        </w:rPr>
        <w:t>», 3 смены, общий охват детей 45 человек). Общий объем средств, предоставленных индивидуальным предпринимателям составил 1708,1 тысяч рублей. Все мероприятия, завяленные индивидуальными предпринимателями к исполнению, выполнены в полном объеме.</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 xml:space="preserve">За счет средств бюджета Белоярского района, выделяемых Комитету по социальной политике администрации Белоярского района на проведение конкурса программ и проектов, реализуемых социально-ориентированными некоммерческими организациями, осуществлена поддержка программы Воскресной школы местной религиозной организации Прихода храма преп. Серафима Саровского г. Белоярский по организации работы детского </w:t>
      </w:r>
      <w:proofErr w:type="spellStart"/>
      <w:r w:rsidRPr="00A40C28">
        <w:rPr>
          <w:rFonts w:ascii="Times New Roman" w:eastAsia="Times New Roman" w:hAnsi="Times New Roman" w:cs="Times New Roman"/>
          <w:sz w:val="24"/>
          <w:szCs w:val="24"/>
          <w:lang w:eastAsia="ru-RU"/>
        </w:rPr>
        <w:t>Православно</w:t>
      </w:r>
      <w:proofErr w:type="spellEnd"/>
      <w:r w:rsidRPr="00A40C28">
        <w:rPr>
          <w:rFonts w:ascii="Times New Roman" w:eastAsia="Times New Roman" w:hAnsi="Times New Roman" w:cs="Times New Roman"/>
          <w:sz w:val="24"/>
          <w:szCs w:val="24"/>
          <w:lang w:eastAsia="ru-RU"/>
        </w:rPr>
        <w:t xml:space="preserve">-ориентированного лагеря «Витязь» с дневным пребыванием детей. Сумма гранта составила 220 тысяч рублей. Все мероприятия, завяленные к исполнению, выполнены в полном объеме.  </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Все организации отдыха детей и их оздоровления, расположенные за пределами Белоярского района, в которых отдыхали дети, являются негосударственными (немуниципальными).</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w:t>
      </w:r>
      <w:r w:rsidRPr="00A40C28">
        <w:rPr>
          <w:rFonts w:ascii="Times New Roman" w:eastAsia="Times New Roman" w:hAnsi="Times New Roman" w:cs="Times New Roman"/>
          <w:sz w:val="24"/>
          <w:szCs w:val="24"/>
          <w:lang w:eastAsia="ru-RU"/>
        </w:rPr>
        <w:t xml:space="preserve"> в 2017 году в негосударственных (немуниципальных) </w:t>
      </w:r>
      <w:proofErr w:type="gramStart"/>
      <w:r w:rsidRPr="00A40C28">
        <w:rPr>
          <w:rFonts w:ascii="Times New Roman" w:eastAsia="Times New Roman" w:hAnsi="Times New Roman" w:cs="Times New Roman"/>
          <w:sz w:val="24"/>
          <w:szCs w:val="24"/>
          <w:lang w:eastAsia="ru-RU"/>
        </w:rPr>
        <w:t>организациях  отдыха</w:t>
      </w:r>
      <w:proofErr w:type="gramEnd"/>
      <w:r w:rsidRPr="00A40C28">
        <w:rPr>
          <w:rFonts w:ascii="Times New Roman" w:eastAsia="Times New Roman" w:hAnsi="Times New Roman" w:cs="Times New Roman"/>
          <w:sz w:val="24"/>
          <w:szCs w:val="24"/>
          <w:lang w:eastAsia="ru-RU"/>
        </w:rPr>
        <w:t xml:space="preserve"> и оздоровление получили 552 ребенка, что составляет 16% от общей численности отдохнувших детей (2016 год – 532 / 16%).</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Целевой показатель, на достижение которого направлены мероприятия по развитию  рынка услуг детского отдыха и оздоровления в 2017 году - 20% от общей численности детей в возрасте от 7 до 17 лет, проживающих в автономном округе, воспользовавшихся путевками, региональными сертификатами на отдых детей и их оздоровление (компенсацией части стоимости путевки) по типам организаций (негосударственных, немуниципальных) отдыха детей и их оздоровления в общей численности детей, отдохнувших в организациях отдыха детей и их оздоровления (стационарный загородный лагерь (приоритет), лагерь с дневным пребыванием, палаточный лагерь, стационарно-оздоровительный лагерь труда и отдыха).</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Целевой показатель не достигнут ввиду того, что основные мероприятия (с б</w:t>
      </w:r>
      <w:r w:rsidRPr="00A40C28">
        <w:rPr>
          <w:rFonts w:ascii="Times New Roman" w:eastAsia="Times New Roman" w:hAnsi="Times New Roman" w:cs="Times New Roman"/>
          <w:b/>
          <w:sz w:val="24"/>
          <w:szCs w:val="24"/>
          <w:lang w:eastAsia="ru-RU"/>
        </w:rPr>
        <w:t>о</w:t>
      </w:r>
      <w:r w:rsidRPr="00A40C28">
        <w:rPr>
          <w:rFonts w:ascii="Times New Roman" w:eastAsia="Times New Roman" w:hAnsi="Times New Roman" w:cs="Times New Roman"/>
          <w:sz w:val="24"/>
          <w:szCs w:val="24"/>
          <w:lang w:eastAsia="ru-RU"/>
        </w:rPr>
        <w:t>льшим количеством направлений и, соответственно, б</w:t>
      </w:r>
      <w:r w:rsidRPr="00A40C28">
        <w:rPr>
          <w:rFonts w:ascii="Times New Roman" w:eastAsia="Times New Roman" w:hAnsi="Times New Roman" w:cs="Times New Roman"/>
          <w:b/>
          <w:sz w:val="24"/>
          <w:szCs w:val="24"/>
          <w:lang w:eastAsia="ru-RU"/>
        </w:rPr>
        <w:t>о</w:t>
      </w:r>
      <w:r w:rsidRPr="00A40C28">
        <w:rPr>
          <w:rFonts w:ascii="Times New Roman" w:eastAsia="Times New Roman" w:hAnsi="Times New Roman" w:cs="Times New Roman"/>
          <w:sz w:val="24"/>
          <w:szCs w:val="24"/>
          <w:lang w:eastAsia="ru-RU"/>
        </w:rPr>
        <w:t xml:space="preserve">льшим охватом детей) приходится на летний период. Так, в летний период 2017 года численность отдохнувших детей составила 1999 детей. Из них в негосударственных (немуниципальных) организациях  отдохнули 400 детей, что составляет 20% от общей численности отдохнувших. Однако общая численность детей, отдыхающих в период зимних, весенних и осенних каникул в государственных (муниципальных) организациях, существенно снижает (при математическом подсчете) этот показатель.    </w:t>
      </w:r>
    </w:p>
    <w:p w:rsid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Расширение негосударственного сектора на рынке отдыха и оздоровления детей зависит от исполнения высоких требований стандартов качества предоставляемой услуги, соответствия современным требованиям и нормам комплексной безопасности. Кроме того, развитию конкурентной среды на указанном рынке препятствуют высокие требования, предъявляемые к персональной ответственности руководителей и специалистов за жизнь и здоровье детей, слабое программно-методическое и образовательно-воспитательное обеспечение, недостаточный уровень квалификации психолого-педагогических, физкультурно-спортивных, медицинских и других специалистов, владеющих технологиями оздоровления и психолого-педагогической поддержки детей во время пребывания воспитанников на отдыхе.</w:t>
      </w:r>
    </w:p>
    <w:p w:rsidR="009A03B6" w:rsidRDefault="009A03B6" w:rsidP="009A03B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данным социологического исследования состояния и развития конкурентной среды на рынках товаров и услуг в автономном округе</w:t>
      </w:r>
      <w:r w:rsidR="007F329E">
        <w:rPr>
          <w:rFonts w:ascii="Times New Roman" w:hAnsi="Times New Roman" w:cs="Times New Roman"/>
          <w:sz w:val="24"/>
          <w:szCs w:val="24"/>
        </w:rPr>
        <w:t xml:space="preserve"> в Белоярском районе</w:t>
      </w:r>
      <w:r>
        <w:rPr>
          <w:rFonts w:ascii="Times New Roman" w:hAnsi="Times New Roman" w:cs="Times New Roman"/>
          <w:sz w:val="24"/>
          <w:szCs w:val="24"/>
        </w:rPr>
        <w:t>:</w:t>
      </w:r>
    </w:p>
    <w:p w:rsidR="009A03B6" w:rsidRDefault="009A03B6" w:rsidP="00A40C2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уровнем цен удовлетворены 30,2% опрошенных, скорее удовлетворены 55,2%;</w:t>
      </w:r>
    </w:p>
    <w:p w:rsidR="009A03B6" w:rsidRDefault="009A03B6" w:rsidP="00A40C2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качеством детского отдыха и оздоровлением удовлетворены 48,4% опрошенных, скорее удовлетворены 50,5%;</w:t>
      </w:r>
    </w:p>
    <w:p w:rsidR="00A40C28" w:rsidRDefault="009A03B6" w:rsidP="00E7306F">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возможностью выбора удовлетворены 25% опрошенных, скорее удовлетворены 67,9%.</w:t>
      </w:r>
    </w:p>
    <w:p w:rsidR="00E7306F" w:rsidRPr="00E7306F" w:rsidRDefault="00E7306F" w:rsidP="00E7306F">
      <w:pPr>
        <w:spacing w:after="0" w:line="360" w:lineRule="auto"/>
        <w:ind w:firstLine="708"/>
        <w:jc w:val="both"/>
        <w:rPr>
          <w:rFonts w:ascii="Times New Roman" w:eastAsia="Times New Roman" w:hAnsi="Times New Roman" w:cs="Times New Roman"/>
          <w:sz w:val="24"/>
          <w:szCs w:val="24"/>
          <w:lang w:eastAsia="ru-RU"/>
        </w:rPr>
      </w:pPr>
    </w:p>
    <w:p w:rsidR="00BA2A07" w:rsidRPr="00EB7E02" w:rsidRDefault="00BA2A07" w:rsidP="005C1731">
      <w:pPr>
        <w:tabs>
          <w:tab w:val="left" w:pos="3810"/>
        </w:tabs>
        <w:spacing w:after="0" w:line="360" w:lineRule="auto"/>
        <w:rPr>
          <w:rFonts w:ascii="Times New Roman" w:hAnsi="Times New Roman" w:cs="Times New Roman"/>
          <w:b/>
          <w:sz w:val="26"/>
          <w:szCs w:val="26"/>
        </w:rPr>
      </w:pPr>
      <w:r w:rsidRPr="00EB7E02">
        <w:rPr>
          <w:rFonts w:ascii="Times New Roman" w:hAnsi="Times New Roman" w:cs="Times New Roman"/>
          <w:b/>
          <w:sz w:val="26"/>
          <w:szCs w:val="26"/>
        </w:rPr>
        <w:t>Рынок услуг в сфере культуры</w:t>
      </w:r>
      <w:r w:rsidR="00E742F2" w:rsidRPr="00EB7E02">
        <w:rPr>
          <w:rFonts w:ascii="Times New Roman" w:hAnsi="Times New Roman" w:cs="Times New Roman"/>
          <w:b/>
          <w:sz w:val="26"/>
          <w:szCs w:val="26"/>
        </w:rPr>
        <w:tab/>
      </w:r>
    </w:p>
    <w:p w:rsidR="00E742F2" w:rsidRPr="00E742F2" w:rsidRDefault="00E742F2" w:rsidP="005C1731">
      <w:pPr>
        <w:tabs>
          <w:tab w:val="left" w:pos="3810"/>
        </w:tabs>
        <w:spacing w:after="0" w:line="360" w:lineRule="auto"/>
        <w:ind w:firstLine="709"/>
        <w:jc w:val="both"/>
        <w:rPr>
          <w:rFonts w:ascii="Times New Roman" w:hAnsi="Times New Roman" w:cs="Times New Roman"/>
          <w:sz w:val="24"/>
          <w:szCs w:val="24"/>
        </w:rPr>
      </w:pPr>
      <w:r w:rsidRPr="00E742F2">
        <w:rPr>
          <w:rFonts w:ascii="Times New Roman" w:hAnsi="Times New Roman" w:cs="Times New Roman"/>
          <w:sz w:val="24"/>
          <w:szCs w:val="24"/>
        </w:rPr>
        <w:t>Основным мероприятием по содействию  развитию конкуренции на рынке услуг в сфере культуры является организация межведомственного взаимодействия в целях создания оптимальных условий для оказания услуг учреждениями культуры, в том числе частными организациями.</w:t>
      </w:r>
    </w:p>
    <w:p w:rsidR="00E742F2" w:rsidRPr="00E742F2" w:rsidRDefault="005C1731" w:rsidP="00EB7E02">
      <w:pPr>
        <w:tabs>
          <w:tab w:val="left" w:pos="3810"/>
        </w:tabs>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В рамках данных мероприятий </w:t>
      </w:r>
      <w:r w:rsidR="00E742F2" w:rsidRPr="00E742F2">
        <w:rPr>
          <w:rFonts w:ascii="Times New Roman" w:hAnsi="Times New Roman" w:cs="Times New Roman"/>
          <w:b/>
          <w:sz w:val="24"/>
          <w:szCs w:val="24"/>
        </w:rPr>
        <w:t>комитетом по культуре за 2017 год</w:t>
      </w:r>
      <w:r>
        <w:rPr>
          <w:rFonts w:ascii="Times New Roman" w:hAnsi="Times New Roman" w:cs="Times New Roman"/>
          <w:b/>
          <w:sz w:val="24"/>
          <w:szCs w:val="24"/>
        </w:rPr>
        <w:t xml:space="preserve"> сформированы и утверждены</w:t>
      </w:r>
      <w:r w:rsidR="00E742F2" w:rsidRPr="00E742F2">
        <w:rPr>
          <w:rFonts w:ascii="Times New Roman" w:hAnsi="Times New Roman" w:cs="Times New Roman"/>
          <w:b/>
          <w:sz w:val="24"/>
          <w:szCs w:val="24"/>
        </w:rPr>
        <w:t>:</w:t>
      </w:r>
    </w:p>
    <w:p w:rsidR="00E742F2" w:rsidRPr="00E742F2" w:rsidRDefault="00E742F2" w:rsidP="00EB7E02">
      <w:pPr>
        <w:tabs>
          <w:tab w:val="left" w:pos="38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E742F2">
        <w:rPr>
          <w:rFonts w:ascii="Times New Roman" w:hAnsi="Times New Roman" w:cs="Times New Roman"/>
          <w:sz w:val="24"/>
          <w:szCs w:val="24"/>
        </w:rPr>
        <w:t xml:space="preserve">еречень услуг в сфере культуры, которые могут быть переданы на исполнение немуниципальным организациям, в том числе социально ориентированным некоммерческим организациям; </w:t>
      </w:r>
    </w:p>
    <w:p w:rsidR="00E742F2" w:rsidRPr="00E742F2" w:rsidRDefault="00E742F2" w:rsidP="00EB7E02">
      <w:pPr>
        <w:tabs>
          <w:tab w:val="left" w:pos="38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E742F2">
        <w:rPr>
          <w:rFonts w:ascii="Times New Roman" w:hAnsi="Times New Roman" w:cs="Times New Roman"/>
          <w:sz w:val="24"/>
          <w:szCs w:val="24"/>
        </w:rPr>
        <w:t xml:space="preserve">орядок  оказания поддержки для социальных предпринимателей и социально ориентированных некоммерческих организаций; </w:t>
      </w:r>
    </w:p>
    <w:p w:rsidR="00E742F2" w:rsidRPr="00E742F2" w:rsidRDefault="00E742F2" w:rsidP="00EB7E02">
      <w:pPr>
        <w:tabs>
          <w:tab w:val="left" w:pos="38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Pr="00E742F2">
        <w:rPr>
          <w:rFonts w:ascii="Times New Roman" w:hAnsi="Times New Roman" w:cs="Times New Roman"/>
          <w:sz w:val="24"/>
          <w:szCs w:val="24"/>
        </w:rPr>
        <w:t>тандарт услуги «Организация, проведение культурно – массовых мероприятий (национальных праздников, народных гуляний и т.д.);</w:t>
      </w:r>
    </w:p>
    <w:p w:rsidR="00E742F2" w:rsidRDefault="00E742F2" w:rsidP="00EB7E02">
      <w:pPr>
        <w:tabs>
          <w:tab w:val="left" w:pos="38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Pr="00E742F2">
        <w:rPr>
          <w:rFonts w:ascii="Times New Roman" w:hAnsi="Times New Roman" w:cs="Times New Roman"/>
          <w:sz w:val="24"/>
          <w:szCs w:val="24"/>
        </w:rPr>
        <w:t>формирован и поддерживается в актуальном состоянии Реестр потенциальных поставщиков в сф</w:t>
      </w:r>
      <w:r>
        <w:rPr>
          <w:rFonts w:ascii="Times New Roman" w:hAnsi="Times New Roman" w:cs="Times New Roman"/>
          <w:sz w:val="24"/>
          <w:szCs w:val="24"/>
        </w:rPr>
        <w:t>ере культуры Белоярского района.</w:t>
      </w:r>
    </w:p>
    <w:p w:rsidR="00E742F2" w:rsidRPr="00E742F2" w:rsidRDefault="00E742F2" w:rsidP="00EB7E02">
      <w:pPr>
        <w:tabs>
          <w:tab w:val="left" w:pos="3810"/>
        </w:tabs>
        <w:spacing w:after="0" w:line="360" w:lineRule="auto"/>
        <w:ind w:firstLine="709"/>
        <w:jc w:val="both"/>
        <w:rPr>
          <w:rFonts w:ascii="Times New Roman" w:hAnsi="Times New Roman" w:cs="Times New Roman"/>
          <w:sz w:val="24"/>
          <w:szCs w:val="24"/>
        </w:rPr>
      </w:pPr>
      <w:r w:rsidRPr="00E742F2">
        <w:rPr>
          <w:rFonts w:ascii="Times New Roman" w:hAnsi="Times New Roman" w:cs="Times New Roman"/>
          <w:sz w:val="24"/>
          <w:szCs w:val="24"/>
        </w:rPr>
        <w:t>Комитетом по культуре ведется систематический мониторинг предпринимательской среды, с целью выявления новых поставщиков услуг в области культуры и своевременного исключения поставщиков, прекративших свою деятельность. В 2017 году в Перечне состояло 18 потенциальных поставщиков в сфере культуры Белоярского района. За 2017 год в данный Перечень была включена 1 новая организация.</w:t>
      </w:r>
    </w:p>
    <w:p w:rsidR="00E742F2" w:rsidRPr="00E742F2" w:rsidRDefault="00E742F2" w:rsidP="00EB7E02">
      <w:pPr>
        <w:tabs>
          <w:tab w:val="left" w:pos="3810"/>
        </w:tabs>
        <w:spacing w:after="0" w:line="360" w:lineRule="auto"/>
        <w:ind w:firstLine="709"/>
        <w:jc w:val="both"/>
        <w:rPr>
          <w:rFonts w:ascii="Times New Roman" w:hAnsi="Times New Roman" w:cs="Times New Roman"/>
          <w:sz w:val="24"/>
          <w:szCs w:val="24"/>
        </w:rPr>
      </w:pPr>
      <w:r w:rsidRPr="00E742F2">
        <w:rPr>
          <w:rFonts w:ascii="Times New Roman" w:hAnsi="Times New Roman" w:cs="Times New Roman"/>
          <w:sz w:val="24"/>
          <w:szCs w:val="24"/>
        </w:rPr>
        <w:t xml:space="preserve">Порядок оказания поддержки для социальных предпринимателей и социально ориентированных некоммерческих организаций предусматривает передачу услуг в области культуры на исполнение немуниципальным </w:t>
      </w:r>
      <w:proofErr w:type="gramStart"/>
      <w:r w:rsidRPr="00E742F2">
        <w:rPr>
          <w:rFonts w:ascii="Times New Roman" w:hAnsi="Times New Roman" w:cs="Times New Roman"/>
          <w:sz w:val="24"/>
          <w:szCs w:val="24"/>
        </w:rPr>
        <w:t>организациям  на</w:t>
      </w:r>
      <w:proofErr w:type="gramEnd"/>
      <w:r w:rsidRPr="00E742F2">
        <w:rPr>
          <w:rFonts w:ascii="Times New Roman" w:hAnsi="Times New Roman" w:cs="Times New Roman"/>
          <w:sz w:val="24"/>
          <w:szCs w:val="24"/>
        </w:rPr>
        <w:t xml:space="preserve"> конкурсной основе в соответствии с действующим законодательством о закупке товаров, работ, услуг для муниципальных нужд. </w:t>
      </w:r>
    </w:p>
    <w:p w:rsidR="00E742F2" w:rsidRPr="00E742F2" w:rsidRDefault="00E742F2" w:rsidP="00EB7E02">
      <w:pPr>
        <w:tabs>
          <w:tab w:val="left" w:pos="3810"/>
        </w:tabs>
        <w:spacing w:after="0" w:line="360" w:lineRule="auto"/>
        <w:ind w:firstLine="709"/>
        <w:jc w:val="both"/>
        <w:rPr>
          <w:rFonts w:ascii="Times New Roman" w:hAnsi="Times New Roman" w:cs="Times New Roman"/>
          <w:sz w:val="24"/>
          <w:szCs w:val="24"/>
        </w:rPr>
      </w:pPr>
      <w:r w:rsidRPr="00E742F2">
        <w:rPr>
          <w:rFonts w:ascii="Times New Roman" w:hAnsi="Times New Roman" w:cs="Times New Roman"/>
          <w:sz w:val="24"/>
          <w:szCs w:val="24"/>
        </w:rPr>
        <w:t>В муниципальную программу Белоярского района внесены изменения, а именно включены мероприятия по передаче на исполнение услуг в сфере культуры негосударственном (коммерческим, некоммерческим) организациям, осуществляющим деятельность на территории Белоярского района (Постановление ад</w:t>
      </w:r>
      <w:r>
        <w:rPr>
          <w:rFonts w:ascii="Times New Roman" w:hAnsi="Times New Roman" w:cs="Times New Roman"/>
          <w:sz w:val="24"/>
          <w:szCs w:val="24"/>
        </w:rPr>
        <w:t xml:space="preserve">министрации Белоярского района </w:t>
      </w:r>
      <w:r w:rsidRPr="00E742F2">
        <w:rPr>
          <w:rFonts w:ascii="Times New Roman" w:hAnsi="Times New Roman" w:cs="Times New Roman"/>
          <w:sz w:val="24"/>
          <w:szCs w:val="24"/>
        </w:rPr>
        <w:t>от 29.09.2017 года №</w:t>
      </w:r>
      <w:r>
        <w:rPr>
          <w:rFonts w:ascii="Times New Roman" w:hAnsi="Times New Roman" w:cs="Times New Roman"/>
          <w:sz w:val="24"/>
          <w:szCs w:val="24"/>
        </w:rPr>
        <w:t xml:space="preserve"> </w:t>
      </w:r>
      <w:r w:rsidRPr="00E742F2">
        <w:rPr>
          <w:rFonts w:ascii="Times New Roman" w:hAnsi="Times New Roman" w:cs="Times New Roman"/>
          <w:sz w:val="24"/>
          <w:szCs w:val="24"/>
        </w:rPr>
        <w:t xml:space="preserve">903).  </w:t>
      </w:r>
    </w:p>
    <w:p w:rsidR="00E742F2" w:rsidRPr="00E742F2" w:rsidRDefault="00E742F2" w:rsidP="00EB7E02">
      <w:pPr>
        <w:tabs>
          <w:tab w:val="left" w:pos="3810"/>
        </w:tabs>
        <w:spacing w:after="0" w:line="360" w:lineRule="auto"/>
        <w:ind w:firstLine="709"/>
        <w:jc w:val="both"/>
        <w:rPr>
          <w:rFonts w:ascii="Times New Roman" w:hAnsi="Times New Roman" w:cs="Times New Roman"/>
          <w:sz w:val="24"/>
          <w:szCs w:val="24"/>
        </w:rPr>
      </w:pPr>
      <w:r w:rsidRPr="00E742F2">
        <w:rPr>
          <w:rFonts w:ascii="Times New Roman" w:hAnsi="Times New Roman" w:cs="Times New Roman"/>
          <w:sz w:val="24"/>
          <w:szCs w:val="24"/>
        </w:rPr>
        <w:t>Документы, разработанные для передачи услуг в области культуры  немуниципальным организациям,  своевременно актуализируются и размещаются  на официальном сайте органов местного самоуправления Белоярского района.</w:t>
      </w:r>
    </w:p>
    <w:p w:rsidR="00E742F2" w:rsidRPr="00E742F2" w:rsidRDefault="00E742F2" w:rsidP="00EB7E02">
      <w:pPr>
        <w:tabs>
          <w:tab w:val="left" w:pos="3810"/>
        </w:tabs>
        <w:spacing w:after="0" w:line="360" w:lineRule="auto"/>
        <w:ind w:firstLine="709"/>
        <w:jc w:val="both"/>
        <w:rPr>
          <w:rFonts w:ascii="Times New Roman" w:hAnsi="Times New Roman" w:cs="Times New Roman"/>
          <w:sz w:val="24"/>
          <w:szCs w:val="24"/>
        </w:rPr>
      </w:pPr>
      <w:r w:rsidRPr="00E742F2">
        <w:rPr>
          <w:rFonts w:ascii="Times New Roman" w:hAnsi="Times New Roman" w:cs="Times New Roman"/>
          <w:sz w:val="24"/>
          <w:szCs w:val="24"/>
        </w:rPr>
        <w:t xml:space="preserve">Два раза в год  комитетом по культуре проводится  мониторинг удовлетворенности потребителей качеством услуг, оказываемых учреждениями культуры. </w:t>
      </w:r>
    </w:p>
    <w:p w:rsidR="00E742F2" w:rsidRPr="00E742F2" w:rsidRDefault="00E742F2" w:rsidP="00EB7E02">
      <w:pPr>
        <w:tabs>
          <w:tab w:val="left" w:pos="3810"/>
        </w:tabs>
        <w:spacing w:after="0" w:line="360" w:lineRule="auto"/>
        <w:ind w:firstLine="709"/>
        <w:jc w:val="both"/>
        <w:rPr>
          <w:rFonts w:ascii="Times New Roman" w:hAnsi="Times New Roman" w:cs="Times New Roman"/>
          <w:sz w:val="24"/>
          <w:szCs w:val="24"/>
        </w:rPr>
      </w:pPr>
      <w:r w:rsidRPr="00E742F2">
        <w:rPr>
          <w:rFonts w:ascii="Times New Roman" w:hAnsi="Times New Roman" w:cs="Times New Roman"/>
          <w:sz w:val="24"/>
          <w:szCs w:val="24"/>
        </w:rPr>
        <w:t xml:space="preserve">По итогам оценки качества предоставляемых услуг населению отклонений от утвержденных стандартов качества муниципальных услуг (работ) не выявлено, жалоб от населения на качество предоставленных услуг за 2017 год не поступало. Анализ результатов опроса населения показал высокий уровень удовлетворенности потребителей качеством предоставляемых услуг. В опросе приняло участие 2 126 человек,  из них  88,8 %  полностью удовлетворены качеством предоставляемых муниципальных услуг муниципальными учреждениями культуры Белоярского района. </w:t>
      </w:r>
    </w:p>
    <w:p w:rsidR="00E742F2" w:rsidRPr="00E742F2" w:rsidRDefault="00E742F2" w:rsidP="00EB7E02">
      <w:pPr>
        <w:tabs>
          <w:tab w:val="left" w:pos="3810"/>
        </w:tabs>
        <w:spacing w:after="0" w:line="360" w:lineRule="auto"/>
        <w:ind w:firstLine="709"/>
        <w:jc w:val="both"/>
        <w:rPr>
          <w:rFonts w:ascii="Times New Roman" w:hAnsi="Times New Roman" w:cs="Times New Roman"/>
          <w:sz w:val="24"/>
          <w:szCs w:val="24"/>
        </w:rPr>
      </w:pPr>
      <w:r w:rsidRPr="00E742F2">
        <w:rPr>
          <w:rFonts w:ascii="Times New Roman" w:hAnsi="Times New Roman" w:cs="Times New Roman"/>
          <w:sz w:val="24"/>
          <w:szCs w:val="24"/>
        </w:rPr>
        <w:t>В 2017 году были расширены полномочия Общественного совета по проведению независимой оценки качества услуг в сфере культуры, включением в процедуру независимой оценки негосударственных организаций, оказывающих услуги в сфере культуры на территории Белоярского района. Неза</w:t>
      </w:r>
      <w:r w:rsidR="007917DB">
        <w:rPr>
          <w:rFonts w:ascii="Times New Roman" w:hAnsi="Times New Roman" w:cs="Times New Roman"/>
          <w:sz w:val="24"/>
          <w:szCs w:val="24"/>
        </w:rPr>
        <w:t>висимая оценка проводится 1 раз</w:t>
      </w:r>
      <w:r w:rsidRPr="00E742F2">
        <w:rPr>
          <w:rFonts w:ascii="Times New Roman" w:hAnsi="Times New Roman" w:cs="Times New Roman"/>
          <w:sz w:val="24"/>
          <w:szCs w:val="24"/>
        </w:rPr>
        <w:t xml:space="preserve"> в 3 года. </w:t>
      </w:r>
    </w:p>
    <w:p w:rsidR="00E742F2" w:rsidRDefault="00EB7E02" w:rsidP="00EB7E02">
      <w:pPr>
        <w:tabs>
          <w:tab w:val="left" w:pos="38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Комплекс вышеперечисленных мероприятий </w:t>
      </w:r>
      <w:r w:rsidR="00E742F2" w:rsidRPr="00E742F2">
        <w:rPr>
          <w:rFonts w:ascii="Times New Roman" w:hAnsi="Times New Roman" w:cs="Times New Roman"/>
          <w:sz w:val="24"/>
          <w:szCs w:val="24"/>
        </w:rPr>
        <w:t>способствует привлечению негосударственных организаций к оказанию услуг в сфере культуры и позволяют минимизиров</w:t>
      </w:r>
      <w:r w:rsidR="00BC7327">
        <w:rPr>
          <w:rFonts w:ascii="Times New Roman" w:hAnsi="Times New Roman" w:cs="Times New Roman"/>
          <w:sz w:val="24"/>
          <w:szCs w:val="24"/>
        </w:rPr>
        <w:t xml:space="preserve">ать административные барьеры и </w:t>
      </w:r>
      <w:r w:rsidR="00E742F2" w:rsidRPr="00E742F2">
        <w:rPr>
          <w:rFonts w:ascii="Times New Roman" w:hAnsi="Times New Roman" w:cs="Times New Roman"/>
          <w:sz w:val="24"/>
          <w:szCs w:val="24"/>
        </w:rPr>
        <w:t xml:space="preserve">факторы, ограничивающие конкуренцию в сфере культуры.  </w:t>
      </w:r>
    </w:p>
    <w:p w:rsidR="007F329E" w:rsidRDefault="007F329E" w:rsidP="007F32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данным социологического исследования состояния и развития конкурентной среды на рынках товаров и услуг в автономном округе в Белоярском районе:</w:t>
      </w:r>
    </w:p>
    <w:p w:rsidR="007F329E" w:rsidRDefault="007F329E" w:rsidP="00EB7E02">
      <w:pPr>
        <w:tabs>
          <w:tab w:val="left" w:pos="38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уровнем цен</w:t>
      </w:r>
      <w:r w:rsidR="00B70ABF">
        <w:rPr>
          <w:rFonts w:ascii="Times New Roman" w:hAnsi="Times New Roman" w:cs="Times New Roman"/>
          <w:sz w:val="24"/>
          <w:szCs w:val="24"/>
        </w:rPr>
        <w:t xml:space="preserve"> удовлетворены 12,5 % опрошенных, скорее удовлетворены 70,8%;</w:t>
      </w:r>
    </w:p>
    <w:p w:rsidR="00B70ABF" w:rsidRDefault="00B70ABF" w:rsidP="00EB7E02">
      <w:pPr>
        <w:tabs>
          <w:tab w:val="left" w:pos="38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качеством услуг в сфере культуры удовлетворены 33% опрошенных, скорее удовлетворены 59,6%;</w:t>
      </w:r>
    </w:p>
    <w:p w:rsidR="00E742F2" w:rsidRDefault="00B70ABF" w:rsidP="00E7306F">
      <w:pPr>
        <w:tabs>
          <w:tab w:val="left" w:pos="381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возможностью выбора удовлетворены 14,5% опрошенных, скорее удовлетворены 80,7%.</w:t>
      </w:r>
    </w:p>
    <w:p w:rsidR="00E7306F" w:rsidRPr="00725F73" w:rsidRDefault="00E7306F" w:rsidP="00BC3F5D">
      <w:pPr>
        <w:tabs>
          <w:tab w:val="left" w:pos="3810"/>
        </w:tabs>
        <w:spacing w:after="0" w:line="360" w:lineRule="auto"/>
        <w:jc w:val="both"/>
        <w:rPr>
          <w:rFonts w:ascii="Times New Roman" w:hAnsi="Times New Roman" w:cs="Times New Roman"/>
          <w:sz w:val="24"/>
          <w:szCs w:val="24"/>
        </w:rPr>
      </w:pPr>
    </w:p>
    <w:p w:rsidR="00167CA0" w:rsidRDefault="00BA2A07" w:rsidP="00167CA0">
      <w:pPr>
        <w:spacing w:after="0" w:line="360" w:lineRule="auto"/>
        <w:rPr>
          <w:rFonts w:ascii="Times New Roman" w:hAnsi="Times New Roman" w:cs="Times New Roman"/>
          <w:b/>
          <w:sz w:val="26"/>
          <w:szCs w:val="26"/>
        </w:rPr>
      </w:pPr>
      <w:r w:rsidRPr="00EB7E02">
        <w:rPr>
          <w:rFonts w:ascii="Times New Roman" w:hAnsi="Times New Roman" w:cs="Times New Roman"/>
          <w:b/>
          <w:sz w:val="26"/>
          <w:szCs w:val="26"/>
        </w:rPr>
        <w:t>Рынок услуг жилищно-коммунального хозяйства</w:t>
      </w:r>
    </w:p>
    <w:p w:rsidR="00167CA0" w:rsidRDefault="00E7306F" w:rsidP="00167CA0">
      <w:pPr>
        <w:spacing w:after="0" w:line="360" w:lineRule="auto"/>
        <w:ind w:firstLine="709"/>
        <w:rPr>
          <w:rFonts w:ascii="Times New Roman" w:hAnsi="Times New Roman" w:cs="Times New Roman"/>
          <w:b/>
          <w:sz w:val="26"/>
          <w:szCs w:val="26"/>
        </w:rPr>
      </w:pPr>
      <w:r>
        <w:rPr>
          <w:rFonts w:ascii="Times New Roman" w:eastAsia="Times New Roman" w:hAnsi="Times New Roman" w:cs="Times New Roman"/>
          <w:bCs/>
          <w:iCs/>
          <w:sz w:val="24"/>
          <w:szCs w:val="24"/>
          <w:lang w:eastAsia="ru-RU"/>
        </w:rPr>
        <w:t>Жилищно-коммунальные услуги в Белоярском районе оказывают 8 предприятий жилищно-коммунального хозяйства частной форм собственности, в том числе 4 предприятия оказывает жилищные услуги и 4 – коммунальные. Основным поставщиком коммунальных ресурсов (услуги в сфере водоснабжения, водоотведения, теплоснабж</w:t>
      </w:r>
      <w:r w:rsidR="00E27963">
        <w:rPr>
          <w:rFonts w:ascii="Times New Roman" w:eastAsia="Times New Roman" w:hAnsi="Times New Roman" w:cs="Times New Roman"/>
          <w:bCs/>
          <w:iCs/>
          <w:sz w:val="24"/>
          <w:szCs w:val="24"/>
          <w:lang w:eastAsia="ru-RU"/>
        </w:rPr>
        <w:t xml:space="preserve">ения, утилизации ТБО) является </w:t>
      </w:r>
      <w:r>
        <w:rPr>
          <w:rFonts w:ascii="Times New Roman" w:eastAsia="Times New Roman" w:hAnsi="Times New Roman" w:cs="Times New Roman"/>
          <w:bCs/>
          <w:iCs/>
          <w:sz w:val="24"/>
          <w:szCs w:val="24"/>
          <w:lang w:eastAsia="ru-RU"/>
        </w:rPr>
        <w:t xml:space="preserve">АО «ЮКЭК-Белоярский».  </w:t>
      </w:r>
    </w:p>
    <w:p w:rsidR="00E7306F" w:rsidRPr="00167CA0" w:rsidRDefault="00E7306F" w:rsidP="00167CA0">
      <w:pPr>
        <w:spacing w:after="0" w:line="360" w:lineRule="auto"/>
        <w:ind w:firstLine="709"/>
        <w:rPr>
          <w:rFonts w:ascii="Times New Roman" w:hAnsi="Times New Roman" w:cs="Times New Roman"/>
          <w:b/>
          <w:sz w:val="26"/>
          <w:szCs w:val="26"/>
        </w:rPr>
      </w:pPr>
      <w:proofErr w:type="gramStart"/>
      <w:r>
        <w:rPr>
          <w:rFonts w:ascii="Times New Roman" w:eastAsia="Times New Roman" w:hAnsi="Times New Roman" w:cs="Times New Roman"/>
          <w:bCs/>
          <w:iCs/>
          <w:sz w:val="24"/>
          <w:szCs w:val="24"/>
          <w:lang w:eastAsia="ru-RU"/>
        </w:rPr>
        <w:t>Забор  воды</w:t>
      </w:r>
      <w:proofErr w:type="gramEnd"/>
      <w:r>
        <w:rPr>
          <w:rFonts w:ascii="Times New Roman" w:eastAsia="Times New Roman" w:hAnsi="Times New Roman" w:cs="Times New Roman"/>
          <w:bCs/>
          <w:iCs/>
          <w:sz w:val="24"/>
          <w:szCs w:val="24"/>
          <w:lang w:eastAsia="ru-RU"/>
        </w:rPr>
        <w:t xml:space="preserve">  в городе Белоярский осуществляется из поверхностного источника – р. Казым, в селах Казым и Полноват  источником питьевой  воды  являются  подземные  воды. В трассовых  поселках  Верхнеказымский, Лыхма, Сорум и Сосновка  услуги водоснабжения оказывают структурные подразделения ООО «Газпром трансгаз Югорск».</w:t>
      </w:r>
    </w:p>
    <w:p w:rsidR="00E7306F" w:rsidRDefault="00E7306F" w:rsidP="00167CA0">
      <w:pPr>
        <w:keepNext/>
        <w:spacing w:after="0" w:line="360" w:lineRule="auto"/>
        <w:ind w:firstLine="709"/>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На территории Белоярского района осуществляют деятельность 5 управляющих организаций: ООО «</w:t>
      </w:r>
      <w:proofErr w:type="spellStart"/>
      <w:r>
        <w:rPr>
          <w:rFonts w:ascii="Times New Roman" w:eastAsia="Times New Roman" w:hAnsi="Times New Roman" w:cs="Times New Roman"/>
          <w:bCs/>
          <w:iCs/>
          <w:sz w:val="24"/>
          <w:szCs w:val="24"/>
          <w:lang w:eastAsia="ru-RU"/>
        </w:rPr>
        <w:t>СервисИмпортТехника</w:t>
      </w:r>
      <w:proofErr w:type="spellEnd"/>
      <w:r>
        <w:rPr>
          <w:rFonts w:ascii="Times New Roman" w:eastAsia="Times New Roman" w:hAnsi="Times New Roman" w:cs="Times New Roman"/>
          <w:bCs/>
          <w:iCs/>
          <w:sz w:val="24"/>
          <w:szCs w:val="24"/>
          <w:lang w:eastAsia="ru-RU"/>
        </w:rPr>
        <w:t>», ООО «Ремонтно-строительный сервис», ООО «</w:t>
      </w:r>
      <w:proofErr w:type="spellStart"/>
      <w:r>
        <w:rPr>
          <w:rFonts w:ascii="Times New Roman" w:eastAsia="Times New Roman" w:hAnsi="Times New Roman" w:cs="Times New Roman"/>
          <w:bCs/>
          <w:iCs/>
          <w:sz w:val="24"/>
          <w:szCs w:val="24"/>
          <w:lang w:eastAsia="ru-RU"/>
        </w:rPr>
        <w:t>РемСтройДвор</w:t>
      </w:r>
      <w:proofErr w:type="spellEnd"/>
      <w:r>
        <w:rPr>
          <w:rFonts w:ascii="Times New Roman" w:eastAsia="Times New Roman" w:hAnsi="Times New Roman" w:cs="Times New Roman"/>
          <w:bCs/>
          <w:iCs/>
          <w:sz w:val="24"/>
          <w:szCs w:val="24"/>
          <w:lang w:eastAsia="ru-RU"/>
        </w:rPr>
        <w:t>», УК «ЖКС», УК «ЖКС+».</w:t>
      </w:r>
    </w:p>
    <w:p w:rsidR="00E7306F" w:rsidRDefault="00E7306F" w:rsidP="00E7306F">
      <w:pPr>
        <w:keepNext/>
        <w:spacing w:after="0" w:line="360" w:lineRule="auto"/>
        <w:ind w:firstLine="720"/>
        <w:jc w:val="both"/>
        <w:outlineLvl w:val="1"/>
        <w:rPr>
          <w:rFonts w:ascii="Times New Roman" w:eastAsia="Times New Roman" w:hAnsi="Times New Roman" w:cs="Times New Roman"/>
          <w:bCs/>
          <w:iCs/>
          <w:sz w:val="24"/>
          <w:szCs w:val="24"/>
          <w:lang w:eastAsia="ru-RU"/>
        </w:rPr>
      </w:pPr>
      <w:proofErr w:type="gramStart"/>
      <w:r>
        <w:rPr>
          <w:rFonts w:ascii="Times New Roman" w:eastAsia="Times New Roman" w:hAnsi="Times New Roman" w:cs="Times New Roman"/>
          <w:bCs/>
          <w:iCs/>
          <w:sz w:val="24"/>
          <w:szCs w:val="24"/>
          <w:lang w:eastAsia="ru-RU"/>
        </w:rPr>
        <w:t>Обеспечение  электроснабжения</w:t>
      </w:r>
      <w:proofErr w:type="gramEnd"/>
      <w:r>
        <w:rPr>
          <w:rFonts w:ascii="Times New Roman" w:eastAsia="Times New Roman" w:hAnsi="Times New Roman" w:cs="Times New Roman"/>
          <w:bCs/>
          <w:iCs/>
          <w:sz w:val="24"/>
          <w:szCs w:val="24"/>
          <w:lang w:eastAsia="ru-RU"/>
        </w:rPr>
        <w:t xml:space="preserve"> города Белоярский и поселков Белоярского района осуществляет ОАО «Тюменская </w:t>
      </w:r>
      <w:proofErr w:type="spellStart"/>
      <w:r>
        <w:rPr>
          <w:rFonts w:ascii="Times New Roman" w:eastAsia="Times New Roman" w:hAnsi="Times New Roman" w:cs="Times New Roman"/>
          <w:bCs/>
          <w:iCs/>
          <w:sz w:val="24"/>
          <w:szCs w:val="24"/>
          <w:lang w:eastAsia="ru-RU"/>
        </w:rPr>
        <w:t>энергосбытовая</w:t>
      </w:r>
      <w:proofErr w:type="spellEnd"/>
      <w:r>
        <w:rPr>
          <w:rFonts w:ascii="Times New Roman" w:eastAsia="Times New Roman" w:hAnsi="Times New Roman" w:cs="Times New Roman"/>
          <w:bCs/>
          <w:iCs/>
          <w:sz w:val="24"/>
          <w:szCs w:val="24"/>
          <w:lang w:eastAsia="ru-RU"/>
        </w:rPr>
        <w:t xml:space="preserve"> компания» </w:t>
      </w:r>
      <w:proofErr w:type="spellStart"/>
      <w:r>
        <w:rPr>
          <w:rFonts w:ascii="Times New Roman" w:eastAsia="Times New Roman" w:hAnsi="Times New Roman" w:cs="Times New Roman"/>
          <w:bCs/>
          <w:iCs/>
          <w:sz w:val="24"/>
          <w:szCs w:val="24"/>
          <w:lang w:eastAsia="ru-RU"/>
        </w:rPr>
        <w:t>Надымское</w:t>
      </w:r>
      <w:proofErr w:type="spellEnd"/>
      <w:r>
        <w:rPr>
          <w:rFonts w:ascii="Times New Roman" w:eastAsia="Times New Roman" w:hAnsi="Times New Roman" w:cs="Times New Roman"/>
          <w:bCs/>
          <w:iCs/>
          <w:sz w:val="24"/>
          <w:szCs w:val="24"/>
          <w:lang w:eastAsia="ru-RU"/>
        </w:rPr>
        <w:t xml:space="preserve"> межрайонное отделение. </w:t>
      </w:r>
    </w:p>
    <w:p w:rsidR="00B47114" w:rsidRDefault="00E7306F" w:rsidP="00B47114">
      <w:pPr>
        <w:keepNext/>
        <w:spacing w:after="0" w:line="360" w:lineRule="auto"/>
        <w:ind w:firstLine="720"/>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Поставку газа на территории Белоярского района осуществляет АО «Газпром </w:t>
      </w:r>
      <w:proofErr w:type="spellStart"/>
      <w:r>
        <w:rPr>
          <w:rFonts w:ascii="Times New Roman" w:eastAsia="Times New Roman" w:hAnsi="Times New Roman" w:cs="Times New Roman"/>
          <w:bCs/>
          <w:iCs/>
          <w:sz w:val="24"/>
          <w:szCs w:val="24"/>
          <w:lang w:eastAsia="ru-RU"/>
        </w:rPr>
        <w:t>межрегионгаз</w:t>
      </w:r>
      <w:proofErr w:type="spellEnd"/>
      <w:r>
        <w:rPr>
          <w:rFonts w:ascii="Times New Roman" w:eastAsia="Times New Roman" w:hAnsi="Times New Roman" w:cs="Times New Roman"/>
          <w:bCs/>
          <w:iCs/>
          <w:sz w:val="24"/>
          <w:szCs w:val="24"/>
          <w:lang w:eastAsia="ru-RU"/>
        </w:rPr>
        <w:t xml:space="preserve"> Север». Централизованным газом обеспечены все крупные населенные пункты Белоярского района. Эксплуатацию газораспределительных сетей, а также техническое обслуживание внутридомового газового оборудования,  осуществляет Белоярский ПЭУ Северного треста филиала в ХМАО-Югре АО «Газпром газораспределение Север».</w:t>
      </w:r>
    </w:p>
    <w:p w:rsidR="00B47114" w:rsidRDefault="00B47114" w:rsidP="00B47114">
      <w:pPr>
        <w:keepNext/>
        <w:spacing w:after="0" w:line="360" w:lineRule="auto"/>
        <w:ind w:firstLine="720"/>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В целях </w:t>
      </w:r>
      <w:r w:rsidRPr="00B47114">
        <w:rPr>
          <w:rFonts w:ascii="Times New Roman" w:eastAsia="Times New Roman" w:hAnsi="Times New Roman" w:cs="Times New Roman"/>
          <w:bCs/>
          <w:iCs/>
          <w:sz w:val="24"/>
          <w:szCs w:val="24"/>
          <w:lang w:eastAsia="ru-RU"/>
        </w:rPr>
        <w:t>содействи</w:t>
      </w:r>
      <w:r>
        <w:rPr>
          <w:rFonts w:ascii="Times New Roman" w:eastAsia="Times New Roman" w:hAnsi="Times New Roman" w:cs="Times New Roman"/>
          <w:bCs/>
          <w:iCs/>
          <w:sz w:val="24"/>
          <w:szCs w:val="24"/>
          <w:lang w:eastAsia="ru-RU"/>
        </w:rPr>
        <w:t>я</w:t>
      </w:r>
      <w:r w:rsidRPr="00B47114">
        <w:rPr>
          <w:rFonts w:ascii="Times New Roman" w:eastAsia="Times New Roman" w:hAnsi="Times New Roman" w:cs="Times New Roman"/>
          <w:bCs/>
          <w:iCs/>
          <w:sz w:val="24"/>
          <w:szCs w:val="24"/>
          <w:lang w:eastAsia="ru-RU"/>
        </w:rPr>
        <w:t xml:space="preserve"> развитию конкуренции на территории Белоярского района</w:t>
      </w:r>
      <w:r>
        <w:rPr>
          <w:rFonts w:ascii="Times New Roman" w:eastAsia="Times New Roman" w:hAnsi="Times New Roman" w:cs="Times New Roman"/>
          <w:bCs/>
          <w:iCs/>
          <w:sz w:val="24"/>
          <w:szCs w:val="24"/>
          <w:lang w:eastAsia="ru-RU"/>
        </w:rPr>
        <w:t xml:space="preserve"> осуществляется ряд мероприятий:</w:t>
      </w:r>
    </w:p>
    <w:p w:rsidR="00B47114" w:rsidRDefault="00B47114" w:rsidP="00B47114">
      <w:pPr>
        <w:pStyle w:val="a4"/>
        <w:keepNext/>
        <w:numPr>
          <w:ilvl w:val="0"/>
          <w:numId w:val="6"/>
        </w:numPr>
        <w:tabs>
          <w:tab w:val="left" w:pos="993"/>
        </w:tabs>
        <w:spacing w:after="0" w:line="360" w:lineRule="auto"/>
        <w:ind w:left="0" w:firstLine="709"/>
        <w:jc w:val="both"/>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w:t>
      </w:r>
      <w:r w:rsidRPr="00B47114">
        <w:rPr>
          <w:rFonts w:ascii="Times New Roman" w:eastAsia="Times New Roman" w:hAnsi="Times New Roman" w:cs="Times New Roman"/>
          <w:bCs/>
          <w:iCs/>
          <w:sz w:val="24"/>
          <w:szCs w:val="24"/>
          <w:lang w:eastAsia="ru-RU"/>
        </w:rPr>
        <w:t>орректировка программ комплексного развития систем коммунальной инфраструктуры</w:t>
      </w:r>
      <w:r>
        <w:rPr>
          <w:rFonts w:ascii="Times New Roman" w:eastAsia="Times New Roman" w:hAnsi="Times New Roman" w:cs="Times New Roman"/>
          <w:bCs/>
          <w:iCs/>
          <w:sz w:val="24"/>
          <w:szCs w:val="24"/>
          <w:lang w:eastAsia="ru-RU"/>
        </w:rPr>
        <w:t xml:space="preserve"> (к</w:t>
      </w:r>
      <w:r w:rsidRPr="00B47114">
        <w:rPr>
          <w:rFonts w:ascii="Times New Roman" w:eastAsia="Times New Roman" w:hAnsi="Times New Roman" w:cs="Times New Roman"/>
          <w:bCs/>
          <w:iCs/>
          <w:sz w:val="24"/>
          <w:szCs w:val="24"/>
          <w:lang w:eastAsia="ru-RU"/>
        </w:rPr>
        <w:t>орректировка программ компле</w:t>
      </w:r>
      <w:r>
        <w:rPr>
          <w:rFonts w:ascii="Times New Roman" w:eastAsia="Times New Roman" w:hAnsi="Times New Roman" w:cs="Times New Roman"/>
          <w:bCs/>
          <w:iCs/>
          <w:sz w:val="24"/>
          <w:szCs w:val="24"/>
          <w:lang w:eastAsia="ru-RU"/>
        </w:rPr>
        <w:t>ксной инфраструктуры завершена; а</w:t>
      </w:r>
      <w:r w:rsidRPr="00B47114">
        <w:rPr>
          <w:rFonts w:ascii="Times New Roman" w:eastAsia="Times New Roman" w:hAnsi="Times New Roman" w:cs="Times New Roman"/>
          <w:bCs/>
          <w:iCs/>
          <w:sz w:val="24"/>
          <w:szCs w:val="24"/>
          <w:lang w:eastAsia="ru-RU"/>
        </w:rPr>
        <w:t xml:space="preserve">ктуализированные программы утверждены в </w:t>
      </w:r>
      <w:proofErr w:type="spellStart"/>
      <w:r w:rsidRPr="00B47114">
        <w:rPr>
          <w:rFonts w:ascii="Times New Roman" w:eastAsia="Times New Roman" w:hAnsi="Times New Roman" w:cs="Times New Roman"/>
          <w:bCs/>
          <w:iCs/>
          <w:sz w:val="24"/>
          <w:szCs w:val="24"/>
          <w:lang w:eastAsia="ru-RU"/>
        </w:rPr>
        <w:t>с.п</w:t>
      </w:r>
      <w:proofErr w:type="spellEnd"/>
      <w:r w:rsidRPr="00B47114">
        <w:rPr>
          <w:rFonts w:ascii="Times New Roman" w:eastAsia="Times New Roman" w:hAnsi="Times New Roman" w:cs="Times New Roman"/>
          <w:bCs/>
          <w:iCs/>
          <w:sz w:val="24"/>
          <w:szCs w:val="24"/>
          <w:lang w:eastAsia="ru-RU"/>
        </w:rPr>
        <w:t>. Казым, Полноват, В</w:t>
      </w:r>
      <w:r>
        <w:rPr>
          <w:rFonts w:ascii="Times New Roman" w:eastAsia="Times New Roman" w:hAnsi="Times New Roman" w:cs="Times New Roman"/>
          <w:bCs/>
          <w:iCs/>
          <w:sz w:val="24"/>
          <w:szCs w:val="24"/>
          <w:lang w:eastAsia="ru-RU"/>
        </w:rPr>
        <w:t>ерхнеказымский, Лыхма, Сосновка; а</w:t>
      </w:r>
      <w:r w:rsidRPr="00B47114">
        <w:rPr>
          <w:rFonts w:ascii="Times New Roman" w:eastAsia="Times New Roman" w:hAnsi="Times New Roman" w:cs="Times New Roman"/>
          <w:bCs/>
          <w:iCs/>
          <w:sz w:val="24"/>
          <w:szCs w:val="24"/>
          <w:lang w:eastAsia="ru-RU"/>
        </w:rPr>
        <w:t xml:space="preserve">ктуализированные ПКР в </w:t>
      </w:r>
      <w:proofErr w:type="spellStart"/>
      <w:r w:rsidRPr="00B47114">
        <w:rPr>
          <w:rFonts w:ascii="Times New Roman" w:eastAsia="Times New Roman" w:hAnsi="Times New Roman" w:cs="Times New Roman"/>
          <w:bCs/>
          <w:iCs/>
          <w:sz w:val="24"/>
          <w:szCs w:val="24"/>
          <w:lang w:eastAsia="ru-RU"/>
        </w:rPr>
        <w:t>с.п</w:t>
      </w:r>
      <w:proofErr w:type="spellEnd"/>
      <w:r w:rsidRPr="00B47114">
        <w:rPr>
          <w:rFonts w:ascii="Times New Roman" w:eastAsia="Times New Roman" w:hAnsi="Times New Roman" w:cs="Times New Roman"/>
          <w:bCs/>
          <w:iCs/>
          <w:sz w:val="24"/>
          <w:szCs w:val="24"/>
          <w:lang w:eastAsia="ru-RU"/>
        </w:rPr>
        <w:t xml:space="preserve">. Сорум и </w:t>
      </w:r>
      <w:proofErr w:type="spellStart"/>
      <w:r w:rsidRPr="00B47114">
        <w:rPr>
          <w:rFonts w:ascii="Times New Roman" w:eastAsia="Times New Roman" w:hAnsi="Times New Roman" w:cs="Times New Roman"/>
          <w:bCs/>
          <w:iCs/>
          <w:sz w:val="24"/>
          <w:szCs w:val="24"/>
          <w:lang w:eastAsia="ru-RU"/>
        </w:rPr>
        <w:t>г.п</w:t>
      </w:r>
      <w:proofErr w:type="spellEnd"/>
      <w:r w:rsidRPr="00B47114">
        <w:rPr>
          <w:rFonts w:ascii="Times New Roman" w:eastAsia="Times New Roman" w:hAnsi="Times New Roman" w:cs="Times New Roman"/>
          <w:bCs/>
          <w:iCs/>
          <w:sz w:val="24"/>
          <w:szCs w:val="24"/>
          <w:lang w:eastAsia="ru-RU"/>
        </w:rPr>
        <w:t>. Белоярский находятся в стад</w:t>
      </w:r>
      <w:r>
        <w:rPr>
          <w:rFonts w:ascii="Times New Roman" w:eastAsia="Times New Roman" w:hAnsi="Times New Roman" w:cs="Times New Roman"/>
          <w:bCs/>
          <w:iCs/>
          <w:sz w:val="24"/>
          <w:szCs w:val="24"/>
          <w:lang w:eastAsia="ru-RU"/>
        </w:rPr>
        <w:t>ии согласования и утверждения (п</w:t>
      </w:r>
      <w:r w:rsidRPr="00B47114">
        <w:rPr>
          <w:rFonts w:ascii="Times New Roman" w:eastAsia="Times New Roman" w:hAnsi="Times New Roman" w:cs="Times New Roman"/>
          <w:bCs/>
          <w:iCs/>
          <w:sz w:val="24"/>
          <w:szCs w:val="24"/>
          <w:lang w:eastAsia="ru-RU"/>
        </w:rPr>
        <w:t xml:space="preserve">ланируемый срок утверждения до </w:t>
      </w:r>
      <w:r>
        <w:rPr>
          <w:rFonts w:ascii="Times New Roman" w:eastAsia="Times New Roman" w:hAnsi="Times New Roman" w:cs="Times New Roman"/>
          <w:bCs/>
          <w:iCs/>
          <w:sz w:val="24"/>
          <w:szCs w:val="24"/>
          <w:lang w:eastAsia="ru-RU"/>
        </w:rPr>
        <w:t>конца 2017 года));</w:t>
      </w:r>
    </w:p>
    <w:p w:rsidR="00B47114" w:rsidRPr="00B47114" w:rsidRDefault="00B47114" w:rsidP="00B47114">
      <w:pPr>
        <w:pStyle w:val="a4"/>
        <w:keepNext/>
        <w:numPr>
          <w:ilvl w:val="0"/>
          <w:numId w:val="6"/>
        </w:numPr>
        <w:tabs>
          <w:tab w:val="left" w:pos="993"/>
        </w:tabs>
        <w:spacing w:after="0" w:line="360" w:lineRule="auto"/>
        <w:ind w:left="0" w:firstLine="709"/>
        <w:jc w:val="both"/>
        <w:outlineLvl w:val="1"/>
        <w:rPr>
          <w:rFonts w:ascii="Times New Roman" w:eastAsia="Times New Roman" w:hAnsi="Times New Roman" w:cs="Times New Roman"/>
          <w:bCs/>
          <w:iCs/>
          <w:sz w:val="24"/>
          <w:szCs w:val="24"/>
          <w:lang w:eastAsia="ru-RU"/>
        </w:rPr>
      </w:pPr>
      <w:r w:rsidRPr="00B47114">
        <w:rPr>
          <w:rFonts w:ascii="Times New Roman" w:eastAsia="Times New Roman" w:hAnsi="Times New Roman" w:cs="Times New Roman"/>
          <w:bCs/>
          <w:iCs/>
          <w:sz w:val="24"/>
          <w:szCs w:val="24"/>
          <w:lang w:eastAsia="ru-RU"/>
        </w:rPr>
        <w:t>мониторинг деятельности предприятий жилищно-коммунального комплекса (осуществляется на постоянной основе, в том числе с представителями общественных советов).</w:t>
      </w:r>
    </w:p>
    <w:p w:rsidR="00E6395D" w:rsidRDefault="00E6395D" w:rsidP="00AD63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данным социологического исследования состояния и развития конкурентной среды на рынках товаров и услуг в автономном округе в Белоярском районе:</w:t>
      </w:r>
    </w:p>
    <w:p w:rsidR="00E6395D" w:rsidRDefault="00E6395D" w:rsidP="00AD63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уровнем цен удовлетворены 1,1% опрошенных, скорее удовлетворены 26,3%, скорее не удовлетворены 44,2%;</w:t>
      </w:r>
    </w:p>
    <w:p w:rsidR="00E6395D" w:rsidRDefault="00E6395D" w:rsidP="00E6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качеством услуг жилищно-коммунального хозяйства удовлетворены 9,7% опрошенных, скорее удовлетворены 37,6%, скорее не удовлетворены 33,3%;</w:t>
      </w:r>
    </w:p>
    <w:p w:rsidR="00E6395D" w:rsidRDefault="00E6395D" w:rsidP="00E6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возможностью выбора удовлетворены 7,2% опрошенных, скорее удовлетворены 59%, скорее не удовлетворены 26,5%.</w:t>
      </w:r>
    </w:p>
    <w:p w:rsidR="00167CA0" w:rsidRDefault="00167CA0" w:rsidP="00AD638E">
      <w:pPr>
        <w:spacing w:after="0" w:line="360" w:lineRule="auto"/>
        <w:rPr>
          <w:rFonts w:ascii="Times New Roman" w:hAnsi="Times New Roman" w:cs="Times New Roman"/>
          <w:b/>
          <w:sz w:val="26"/>
          <w:szCs w:val="26"/>
        </w:rPr>
      </w:pPr>
    </w:p>
    <w:p w:rsidR="00BA2A07" w:rsidRDefault="00BA2A07" w:rsidP="00AD638E">
      <w:pPr>
        <w:spacing w:after="0" w:line="360" w:lineRule="auto"/>
        <w:rPr>
          <w:rFonts w:ascii="Times New Roman" w:hAnsi="Times New Roman" w:cs="Times New Roman"/>
          <w:b/>
          <w:sz w:val="26"/>
          <w:szCs w:val="26"/>
        </w:rPr>
      </w:pPr>
      <w:r w:rsidRPr="00EB7E02">
        <w:rPr>
          <w:rFonts w:ascii="Times New Roman" w:hAnsi="Times New Roman" w:cs="Times New Roman"/>
          <w:b/>
          <w:sz w:val="26"/>
          <w:szCs w:val="26"/>
        </w:rPr>
        <w:t>Рынок услуг розничной торговли</w:t>
      </w:r>
    </w:p>
    <w:p w:rsidR="00E112DD" w:rsidRPr="00E112DD" w:rsidRDefault="00E112DD" w:rsidP="00E112DD">
      <w:pPr>
        <w:spacing w:after="0" w:line="360" w:lineRule="auto"/>
        <w:ind w:firstLine="709"/>
        <w:jc w:val="both"/>
        <w:rPr>
          <w:rFonts w:ascii="Times New Roman" w:eastAsia="Times New Roman" w:hAnsi="Times New Roman" w:cs="Times New Roman"/>
          <w:bCs/>
          <w:iCs/>
          <w:sz w:val="24"/>
          <w:szCs w:val="24"/>
          <w:lang w:eastAsia="ru-RU"/>
        </w:rPr>
      </w:pPr>
      <w:r w:rsidRPr="00E112DD">
        <w:rPr>
          <w:rFonts w:ascii="Times New Roman" w:eastAsia="Times New Roman" w:hAnsi="Times New Roman" w:cs="Times New Roman"/>
          <w:bCs/>
          <w:iCs/>
          <w:sz w:val="24"/>
          <w:szCs w:val="24"/>
          <w:lang w:eastAsia="ru-RU"/>
        </w:rPr>
        <w:t xml:space="preserve">Сформирована достаточно развитая инфраструктура потребительского рынка и услуг. </w:t>
      </w:r>
    </w:p>
    <w:p w:rsidR="00E0429C" w:rsidRDefault="00E0429C" w:rsidP="00E0429C">
      <w:pPr>
        <w:spacing w:after="0" w:line="36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Услуги розничной торговли н</w:t>
      </w:r>
      <w:r w:rsidR="00E27963">
        <w:rPr>
          <w:rFonts w:ascii="Times New Roman" w:eastAsia="Times New Roman" w:hAnsi="Times New Roman" w:cs="Times New Roman"/>
          <w:bCs/>
          <w:iCs/>
          <w:sz w:val="24"/>
          <w:szCs w:val="24"/>
          <w:lang w:eastAsia="ru-RU"/>
        </w:rPr>
        <w:t xml:space="preserve">а </w:t>
      </w:r>
      <w:r>
        <w:rPr>
          <w:rFonts w:ascii="Times New Roman" w:eastAsia="Times New Roman" w:hAnsi="Times New Roman" w:cs="Times New Roman"/>
          <w:bCs/>
          <w:iCs/>
          <w:sz w:val="24"/>
          <w:szCs w:val="24"/>
          <w:lang w:eastAsia="ru-RU"/>
        </w:rPr>
        <w:t xml:space="preserve">территории Белоярского района по состоянию на 01.12.2017 оказывают </w:t>
      </w:r>
      <w:r w:rsidR="00E27963">
        <w:rPr>
          <w:rFonts w:ascii="Times New Roman" w:eastAsia="Times New Roman" w:hAnsi="Times New Roman" w:cs="Times New Roman"/>
          <w:bCs/>
          <w:iCs/>
          <w:sz w:val="24"/>
          <w:szCs w:val="24"/>
          <w:lang w:eastAsia="ru-RU"/>
        </w:rPr>
        <w:t xml:space="preserve"> 227 магазинов </w:t>
      </w:r>
      <w:r w:rsidR="00E112DD" w:rsidRPr="00E112DD">
        <w:rPr>
          <w:rFonts w:ascii="Times New Roman" w:eastAsia="Times New Roman" w:hAnsi="Times New Roman" w:cs="Times New Roman"/>
          <w:bCs/>
          <w:iCs/>
          <w:sz w:val="24"/>
          <w:szCs w:val="24"/>
          <w:lang w:eastAsia="ru-RU"/>
        </w:rPr>
        <w:t>с торговой площадью 16</w:t>
      </w:r>
      <w:r>
        <w:rPr>
          <w:rFonts w:ascii="Times New Roman" w:eastAsia="Times New Roman" w:hAnsi="Times New Roman" w:cs="Times New Roman"/>
          <w:bCs/>
          <w:iCs/>
          <w:sz w:val="24"/>
          <w:szCs w:val="24"/>
          <w:lang w:eastAsia="ru-RU"/>
        </w:rPr>
        <w:t xml:space="preserve"> 728,3 кв.м.</w:t>
      </w:r>
      <w:r w:rsidR="00E112DD" w:rsidRPr="00E112DD">
        <w:rPr>
          <w:rFonts w:ascii="Times New Roman" w:eastAsia="Times New Roman" w:hAnsi="Times New Roman" w:cs="Times New Roman"/>
          <w:bCs/>
          <w:iCs/>
          <w:sz w:val="24"/>
          <w:szCs w:val="24"/>
          <w:lang w:eastAsia="ru-RU"/>
        </w:rPr>
        <w:t>, 6 торговых центров с торговой площадью 11</w:t>
      </w:r>
      <w:r>
        <w:rPr>
          <w:rFonts w:ascii="Times New Roman" w:eastAsia="Times New Roman" w:hAnsi="Times New Roman" w:cs="Times New Roman"/>
          <w:bCs/>
          <w:iCs/>
          <w:sz w:val="24"/>
          <w:szCs w:val="24"/>
          <w:lang w:eastAsia="ru-RU"/>
        </w:rPr>
        <w:t xml:space="preserve"> </w:t>
      </w:r>
      <w:r w:rsidR="00E112DD" w:rsidRPr="00E112DD">
        <w:rPr>
          <w:rFonts w:ascii="Times New Roman" w:eastAsia="Times New Roman" w:hAnsi="Times New Roman" w:cs="Times New Roman"/>
          <w:bCs/>
          <w:iCs/>
          <w:sz w:val="24"/>
          <w:szCs w:val="24"/>
          <w:lang w:eastAsia="ru-RU"/>
        </w:rPr>
        <w:t>404 кв.м., 6 павильоно</w:t>
      </w:r>
      <w:r>
        <w:rPr>
          <w:rFonts w:ascii="Times New Roman" w:eastAsia="Times New Roman" w:hAnsi="Times New Roman" w:cs="Times New Roman"/>
          <w:bCs/>
          <w:iCs/>
          <w:sz w:val="24"/>
          <w:szCs w:val="24"/>
          <w:lang w:eastAsia="ru-RU"/>
        </w:rPr>
        <w:t xml:space="preserve">в с торговой площадью 136 кв.м. </w:t>
      </w:r>
      <w:r w:rsidR="00E112DD" w:rsidRPr="00E112DD">
        <w:rPr>
          <w:rFonts w:ascii="Times New Roman" w:eastAsia="Times New Roman" w:hAnsi="Times New Roman" w:cs="Times New Roman"/>
          <w:bCs/>
          <w:iCs/>
          <w:sz w:val="24"/>
          <w:szCs w:val="24"/>
          <w:lang w:eastAsia="ru-RU"/>
        </w:rPr>
        <w:t xml:space="preserve">Общая торговая площадь </w:t>
      </w:r>
      <w:r>
        <w:rPr>
          <w:rFonts w:ascii="Times New Roman" w:eastAsia="Times New Roman" w:hAnsi="Times New Roman" w:cs="Times New Roman"/>
          <w:bCs/>
          <w:iCs/>
          <w:sz w:val="24"/>
          <w:szCs w:val="24"/>
          <w:lang w:eastAsia="ru-RU"/>
        </w:rPr>
        <w:t xml:space="preserve">составляет </w:t>
      </w:r>
      <w:r w:rsidR="00E112DD" w:rsidRPr="00E112DD">
        <w:rPr>
          <w:rFonts w:ascii="Times New Roman" w:eastAsia="Times New Roman" w:hAnsi="Times New Roman" w:cs="Times New Roman"/>
          <w:bCs/>
          <w:iCs/>
          <w:sz w:val="24"/>
          <w:szCs w:val="24"/>
          <w:lang w:eastAsia="ru-RU"/>
        </w:rPr>
        <w:t>28</w:t>
      </w:r>
      <w:r>
        <w:rPr>
          <w:rFonts w:ascii="Times New Roman" w:eastAsia="Times New Roman" w:hAnsi="Times New Roman" w:cs="Times New Roman"/>
          <w:bCs/>
          <w:iCs/>
          <w:sz w:val="24"/>
          <w:szCs w:val="24"/>
          <w:lang w:eastAsia="ru-RU"/>
        </w:rPr>
        <w:t xml:space="preserve"> 268,3 кв.м. </w:t>
      </w:r>
    </w:p>
    <w:p w:rsidR="00E112DD" w:rsidRDefault="00E112DD" w:rsidP="00E0429C">
      <w:pPr>
        <w:spacing w:after="0" w:line="360" w:lineRule="auto"/>
        <w:ind w:firstLine="709"/>
        <w:jc w:val="both"/>
        <w:rPr>
          <w:rFonts w:ascii="Times New Roman" w:eastAsia="Times New Roman" w:hAnsi="Times New Roman" w:cs="Times New Roman"/>
          <w:bCs/>
          <w:iCs/>
          <w:sz w:val="24"/>
          <w:szCs w:val="24"/>
          <w:lang w:eastAsia="ru-RU"/>
        </w:rPr>
      </w:pPr>
      <w:r w:rsidRPr="00E112DD">
        <w:rPr>
          <w:rFonts w:ascii="Times New Roman" w:eastAsia="Times New Roman" w:hAnsi="Times New Roman" w:cs="Times New Roman"/>
          <w:bCs/>
          <w:iCs/>
          <w:sz w:val="24"/>
          <w:szCs w:val="24"/>
          <w:lang w:eastAsia="ru-RU"/>
        </w:rPr>
        <w:t>Обеспеченность торговыми площадями соста</w:t>
      </w:r>
      <w:r w:rsidR="00E0429C">
        <w:rPr>
          <w:rFonts w:ascii="Times New Roman" w:eastAsia="Times New Roman" w:hAnsi="Times New Roman" w:cs="Times New Roman"/>
          <w:bCs/>
          <w:iCs/>
          <w:sz w:val="24"/>
          <w:szCs w:val="24"/>
          <w:lang w:eastAsia="ru-RU"/>
        </w:rPr>
        <w:t>вляет 955 кв.м. на 1000 жителей</w:t>
      </w:r>
      <w:r w:rsidRPr="00E112DD">
        <w:rPr>
          <w:rFonts w:ascii="Times New Roman" w:eastAsia="Times New Roman" w:hAnsi="Times New Roman" w:cs="Times New Roman"/>
          <w:bCs/>
          <w:iCs/>
          <w:sz w:val="24"/>
          <w:szCs w:val="24"/>
          <w:lang w:eastAsia="ru-RU"/>
        </w:rPr>
        <w:t>, что по отношению к утвержденному нормативу составляет  187 % (норматив 509 кв.м. на 1000 жителей).</w:t>
      </w:r>
    </w:p>
    <w:p w:rsidR="00E112DD" w:rsidRPr="00E112DD" w:rsidRDefault="00E112DD" w:rsidP="00E112DD">
      <w:pPr>
        <w:spacing w:after="0" w:line="360" w:lineRule="auto"/>
        <w:ind w:firstLine="709"/>
        <w:jc w:val="both"/>
        <w:rPr>
          <w:rFonts w:ascii="Times New Roman" w:eastAsia="Times New Roman" w:hAnsi="Times New Roman" w:cs="Times New Roman"/>
          <w:bCs/>
          <w:iCs/>
          <w:sz w:val="24"/>
          <w:szCs w:val="24"/>
          <w:lang w:eastAsia="ru-RU"/>
        </w:rPr>
      </w:pPr>
      <w:r w:rsidRPr="00E112DD">
        <w:rPr>
          <w:rFonts w:ascii="Times New Roman" w:eastAsia="Times New Roman" w:hAnsi="Times New Roman" w:cs="Times New Roman"/>
          <w:bCs/>
          <w:iCs/>
          <w:sz w:val="24"/>
          <w:szCs w:val="24"/>
          <w:lang w:eastAsia="ru-RU"/>
        </w:rPr>
        <w:t xml:space="preserve">Рыночная сеть представлена 1 универсальным рынком УМП «Городской центр торговли» на 88 торговых мест. </w:t>
      </w:r>
    </w:p>
    <w:p w:rsidR="00E112DD" w:rsidRPr="00E112DD" w:rsidRDefault="00E112DD" w:rsidP="00E112DD">
      <w:pPr>
        <w:spacing w:after="0" w:line="360" w:lineRule="auto"/>
        <w:ind w:firstLine="709"/>
        <w:jc w:val="both"/>
        <w:rPr>
          <w:rFonts w:ascii="Times New Roman" w:eastAsia="Times New Roman" w:hAnsi="Times New Roman" w:cs="Times New Roman"/>
          <w:bCs/>
          <w:iCs/>
          <w:sz w:val="24"/>
          <w:szCs w:val="24"/>
          <w:lang w:eastAsia="ru-RU"/>
        </w:rPr>
      </w:pPr>
      <w:r w:rsidRPr="00E112DD">
        <w:rPr>
          <w:rFonts w:ascii="Times New Roman" w:eastAsia="Times New Roman" w:hAnsi="Times New Roman" w:cs="Times New Roman"/>
          <w:bCs/>
          <w:iCs/>
          <w:sz w:val="24"/>
          <w:szCs w:val="24"/>
          <w:lang w:eastAsia="ru-RU"/>
        </w:rPr>
        <w:t xml:space="preserve">На территории Белоярского района созданы условия для удовлетворения спроса населения на потребительские товары и услуги, формирования конкурентной среды, отмечается  активное увеличение площадей сетевых форматов торговли. В 2017 году действует 5 магазинов торговой сети «Красное-Белое», 4 </w:t>
      </w:r>
      <w:proofErr w:type="gramStart"/>
      <w:r w:rsidRPr="00E112DD">
        <w:rPr>
          <w:rFonts w:ascii="Times New Roman" w:eastAsia="Times New Roman" w:hAnsi="Times New Roman" w:cs="Times New Roman"/>
          <w:bCs/>
          <w:iCs/>
          <w:sz w:val="24"/>
          <w:szCs w:val="24"/>
          <w:lang w:eastAsia="ru-RU"/>
        </w:rPr>
        <w:t>супермаркета  федеральной</w:t>
      </w:r>
      <w:proofErr w:type="gramEnd"/>
      <w:r w:rsidRPr="00E112DD">
        <w:rPr>
          <w:rFonts w:ascii="Times New Roman" w:eastAsia="Times New Roman" w:hAnsi="Times New Roman" w:cs="Times New Roman"/>
          <w:bCs/>
          <w:iCs/>
          <w:sz w:val="24"/>
          <w:szCs w:val="24"/>
          <w:lang w:eastAsia="ru-RU"/>
        </w:rPr>
        <w:t xml:space="preserve"> сети «Монетка». </w:t>
      </w:r>
    </w:p>
    <w:p w:rsidR="00E112DD" w:rsidRPr="00E112DD" w:rsidRDefault="00E112DD" w:rsidP="00E112DD">
      <w:pPr>
        <w:spacing w:after="0" w:line="360" w:lineRule="auto"/>
        <w:ind w:firstLine="709"/>
        <w:jc w:val="both"/>
        <w:rPr>
          <w:rFonts w:ascii="Times New Roman" w:eastAsia="Times New Roman" w:hAnsi="Times New Roman" w:cs="Times New Roman"/>
          <w:bCs/>
          <w:iCs/>
          <w:sz w:val="24"/>
          <w:szCs w:val="24"/>
          <w:lang w:eastAsia="ru-RU"/>
        </w:rPr>
      </w:pPr>
      <w:r w:rsidRPr="00E112DD">
        <w:rPr>
          <w:rFonts w:ascii="Times New Roman" w:eastAsia="Times New Roman" w:hAnsi="Times New Roman" w:cs="Times New Roman"/>
          <w:bCs/>
          <w:iCs/>
          <w:sz w:val="24"/>
          <w:szCs w:val="24"/>
          <w:lang w:eastAsia="ru-RU"/>
        </w:rPr>
        <w:t xml:space="preserve">В 2017 году продолжается заполнение площадей </w:t>
      </w:r>
      <w:r w:rsidR="00E0429C" w:rsidRPr="00E112DD">
        <w:rPr>
          <w:rFonts w:ascii="Times New Roman" w:eastAsia="Times New Roman" w:hAnsi="Times New Roman" w:cs="Times New Roman"/>
          <w:bCs/>
          <w:iCs/>
          <w:sz w:val="24"/>
          <w:szCs w:val="24"/>
          <w:lang w:eastAsia="ru-RU"/>
        </w:rPr>
        <w:t>торгово-развлекательн</w:t>
      </w:r>
      <w:r w:rsidR="00E0429C">
        <w:rPr>
          <w:rFonts w:ascii="Times New Roman" w:eastAsia="Times New Roman" w:hAnsi="Times New Roman" w:cs="Times New Roman"/>
          <w:bCs/>
          <w:iCs/>
          <w:sz w:val="24"/>
          <w:szCs w:val="24"/>
          <w:lang w:eastAsia="ru-RU"/>
        </w:rPr>
        <w:t>ого</w:t>
      </w:r>
      <w:r w:rsidR="00E0429C" w:rsidRPr="00E112DD">
        <w:rPr>
          <w:rFonts w:ascii="Times New Roman" w:eastAsia="Times New Roman" w:hAnsi="Times New Roman" w:cs="Times New Roman"/>
          <w:bCs/>
          <w:iCs/>
          <w:sz w:val="24"/>
          <w:szCs w:val="24"/>
          <w:lang w:eastAsia="ru-RU"/>
        </w:rPr>
        <w:t xml:space="preserve"> комплекс</w:t>
      </w:r>
      <w:r w:rsidR="00E0429C">
        <w:rPr>
          <w:rFonts w:ascii="Times New Roman" w:eastAsia="Times New Roman" w:hAnsi="Times New Roman" w:cs="Times New Roman"/>
          <w:bCs/>
          <w:iCs/>
          <w:sz w:val="24"/>
          <w:szCs w:val="24"/>
          <w:lang w:eastAsia="ru-RU"/>
        </w:rPr>
        <w:t>а</w:t>
      </w:r>
      <w:r w:rsidR="00E0429C" w:rsidRPr="00E112DD">
        <w:rPr>
          <w:rFonts w:ascii="Times New Roman" w:eastAsia="Times New Roman" w:hAnsi="Times New Roman" w:cs="Times New Roman"/>
          <w:bCs/>
          <w:iCs/>
          <w:sz w:val="24"/>
          <w:szCs w:val="24"/>
          <w:lang w:eastAsia="ru-RU"/>
        </w:rPr>
        <w:t xml:space="preserve"> «Оазис Плаза»</w:t>
      </w:r>
      <w:r w:rsidRPr="00E112DD">
        <w:rPr>
          <w:rFonts w:ascii="Times New Roman" w:eastAsia="Times New Roman" w:hAnsi="Times New Roman" w:cs="Times New Roman"/>
          <w:bCs/>
          <w:iCs/>
          <w:sz w:val="24"/>
          <w:szCs w:val="24"/>
          <w:lang w:eastAsia="ru-RU"/>
        </w:rPr>
        <w:t>: открылись кафе азиатской кухни «Суши Мастер», магазин модной детской одежды «Комод», магазин парфюмерии, косметики, бытовой химии «</w:t>
      </w:r>
      <w:proofErr w:type="spellStart"/>
      <w:r w:rsidRPr="00E112DD">
        <w:rPr>
          <w:rFonts w:ascii="Times New Roman" w:eastAsia="Times New Roman" w:hAnsi="Times New Roman" w:cs="Times New Roman"/>
          <w:bCs/>
          <w:iCs/>
          <w:sz w:val="24"/>
          <w:szCs w:val="24"/>
          <w:lang w:eastAsia="ru-RU"/>
        </w:rPr>
        <w:t>Оптима</w:t>
      </w:r>
      <w:proofErr w:type="spellEnd"/>
      <w:r w:rsidRPr="00E112DD">
        <w:rPr>
          <w:rFonts w:ascii="Times New Roman" w:eastAsia="Times New Roman" w:hAnsi="Times New Roman" w:cs="Times New Roman"/>
          <w:bCs/>
          <w:iCs/>
          <w:sz w:val="24"/>
          <w:szCs w:val="24"/>
          <w:lang w:eastAsia="ru-RU"/>
        </w:rPr>
        <w:t>», магазин мебели, магазин торговой сети канцелярских товаров «Роллер», детский сетевой магазин «Детский мир», магазин цифровой и бытовой техники «DNS», аптека федеральной сети «</w:t>
      </w:r>
      <w:proofErr w:type="spellStart"/>
      <w:r w:rsidRPr="00E112DD">
        <w:rPr>
          <w:rFonts w:ascii="Times New Roman" w:eastAsia="Times New Roman" w:hAnsi="Times New Roman" w:cs="Times New Roman"/>
          <w:bCs/>
          <w:iCs/>
          <w:sz w:val="24"/>
          <w:szCs w:val="24"/>
          <w:lang w:eastAsia="ru-RU"/>
        </w:rPr>
        <w:t>Ригла</w:t>
      </w:r>
      <w:proofErr w:type="spellEnd"/>
      <w:r w:rsidRPr="00E112DD">
        <w:rPr>
          <w:rFonts w:ascii="Times New Roman" w:eastAsia="Times New Roman" w:hAnsi="Times New Roman" w:cs="Times New Roman"/>
          <w:bCs/>
          <w:iCs/>
          <w:sz w:val="24"/>
          <w:szCs w:val="24"/>
          <w:lang w:eastAsia="ru-RU"/>
        </w:rPr>
        <w:t xml:space="preserve">». </w:t>
      </w:r>
    </w:p>
    <w:p w:rsidR="00E112DD" w:rsidRPr="00E112DD" w:rsidRDefault="00E112DD" w:rsidP="00E112DD">
      <w:pPr>
        <w:spacing w:after="0" w:line="360" w:lineRule="auto"/>
        <w:ind w:firstLine="709"/>
        <w:jc w:val="both"/>
        <w:rPr>
          <w:rFonts w:ascii="Times New Roman" w:eastAsia="Times New Roman" w:hAnsi="Times New Roman" w:cs="Times New Roman"/>
          <w:bCs/>
          <w:iCs/>
          <w:sz w:val="24"/>
          <w:szCs w:val="24"/>
          <w:lang w:eastAsia="ru-RU"/>
        </w:rPr>
      </w:pPr>
      <w:r w:rsidRPr="00E112DD">
        <w:rPr>
          <w:rFonts w:ascii="Times New Roman" w:eastAsia="Times New Roman" w:hAnsi="Times New Roman" w:cs="Times New Roman"/>
          <w:bCs/>
          <w:iCs/>
          <w:sz w:val="24"/>
          <w:szCs w:val="24"/>
          <w:lang w:eastAsia="ru-RU"/>
        </w:rPr>
        <w:t>В 2017 году между Белоярским районом и городом Витебск Республики Беларусь действует соглашение о сотрудничестве, одним из аспектов которого является производственный товарообмен. В частности, в рамках договоренности о взаимовыгодном товарообороте в сеть белоярских магазинов «Блеск» (ИП Кулакова Н.И.) поступают товары от белорусских производителей: продукция кондитерской фабрики «</w:t>
      </w:r>
      <w:proofErr w:type="spellStart"/>
      <w:r w:rsidRPr="00E112DD">
        <w:rPr>
          <w:rFonts w:ascii="Times New Roman" w:eastAsia="Times New Roman" w:hAnsi="Times New Roman" w:cs="Times New Roman"/>
          <w:bCs/>
          <w:iCs/>
          <w:sz w:val="24"/>
          <w:szCs w:val="24"/>
          <w:lang w:eastAsia="ru-RU"/>
        </w:rPr>
        <w:t>Витьба</w:t>
      </w:r>
      <w:proofErr w:type="spellEnd"/>
      <w:r w:rsidRPr="00E112DD">
        <w:rPr>
          <w:rFonts w:ascii="Times New Roman" w:eastAsia="Times New Roman" w:hAnsi="Times New Roman" w:cs="Times New Roman"/>
          <w:bCs/>
          <w:iCs/>
          <w:sz w:val="24"/>
          <w:szCs w:val="24"/>
          <w:lang w:eastAsia="ru-RU"/>
        </w:rPr>
        <w:t>», мясокомбината «Мяско Вит», а также завода «</w:t>
      </w:r>
      <w:proofErr w:type="spellStart"/>
      <w:r w:rsidRPr="00E112DD">
        <w:rPr>
          <w:rFonts w:ascii="Times New Roman" w:eastAsia="Times New Roman" w:hAnsi="Times New Roman" w:cs="Times New Roman"/>
          <w:bCs/>
          <w:iCs/>
          <w:sz w:val="24"/>
          <w:szCs w:val="24"/>
          <w:lang w:eastAsia="ru-RU"/>
        </w:rPr>
        <w:t>Придвинье</w:t>
      </w:r>
      <w:proofErr w:type="spellEnd"/>
      <w:r w:rsidRPr="00E112DD">
        <w:rPr>
          <w:rFonts w:ascii="Times New Roman" w:eastAsia="Times New Roman" w:hAnsi="Times New Roman" w:cs="Times New Roman"/>
          <w:bCs/>
          <w:iCs/>
          <w:sz w:val="24"/>
          <w:szCs w:val="24"/>
          <w:lang w:eastAsia="ru-RU"/>
        </w:rPr>
        <w:t xml:space="preserve">». В свою очередь, в соответствии с заключенными договоренностями между предприятиями ООО «Полноватское Рыбное Хозяйство» и СП «Санта </w:t>
      </w:r>
      <w:proofErr w:type="spellStart"/>
      <w:r w:rsidRPr="00E112DD">
        <w:rPr>
          <w:rFonts w:ascii="Times New Roman" w:eastAsia="Times New Roman" w:hAnsi="Times New Roman" w:cs="Times New Roman"/>
          <w:bCs/>
          <w:iCs/>
          <w:sz w:val="24"/>
          <w:szCs w:val="24"/>
          <w:lang w:eastAsia="ru-RU"/>
        </w:rPr>
        <w:t>Бремор</w:t>
      </w:r>
      <w:proofErr w:type="spellEnd"/>
      <w:r w:rsidRPr="00E112DD">
        <w:rPr>
          <w:rFonts w:ascii="Times New Roman" w:eastAsia="Times New Roman" w:hAnsi="Times New Roman" w:cs="Times New Roman"/>
          <w:bCs/>
          <w:iCs/>
          <w:sz w:val="24"/>
          <w:szCs w:val="24"/>
          <w:lang w:eastAsia="ru-RU"/>
        </w:rPr>
        <w:t>» с начала 2017 года из Белоярского района в Республику Беларусь осуществлена поставка пищевой рыбной продукции в объеме 19 тонн.</w:t>
      </w:r>
    </w:p>
    <w:p w:rsidR="00E112DD" w:rsidRPr="00E112DD" w:rsidRDefault="00E112DD" w:rsidP="00E112DD">
      <w:pPr>
        <w:spacing w:after="0" w:line="360" w:lineRule="auto"/>
        <w:ind w:firstLine="709"/>
        <w:jc w:val="both"/>
        <w:rPr>
          <w:rFonts w:ascii="Times New Roman" w:eastAsia="Times New Roman" w:hAnsi="Times New Roman" w:cs="Times New Roman"/>
          <w:bCs/>
          <w:iCs/>
          <w:sz w:val="24"/>
          <w:szCs w:val="24"/>
          <w:lang w:eastAsia="ru-RU"/>
        </w:rPr>
      </w:pPr>
      <w:r w:rsidRPr="00E112DD">
        <w:rPr>
          <w:rFonts w:ascii="Times New Roman" w:eastAsia="Times New Roman" w:hAnsi="Times New Roman" w:cs="Times New Roman"/>
          <w:bCs/>
          <w:iCs/>
          <w:sz w:val="24"/>
          <w:szCs w:val="24"/>
          <w:lang w:eastAsia="ru-RU"/>
        </w:rPr>
        <w:t xml:space="preserve">В течение 2017 года </w:t>
      </w:r>
      <w:r w:rsidR="00E0429C">
        <w:rPr>
          <w:rFonts w:ascii="Times New Roman" w:eastAsia="Times New Roman" w:hAnsi="Times New Roman" w:cs="Times New Roman"/>
          <w:bCs/>
          <w:iCs/>
          <w:sz w:val="24"/>
          <w:szCs w:val="24"/>
          <w:lang w:eastAsia="ru-RU"/>
        </w:rPr>
        <w:t>три</w:t>
      </w:r>
      <w:r w:rsidRPr="00E112DD">
        <w:rPr>
          <w:rFonts w:ascii="Times New Roman" w:eastAsia="Times New Roman" w:hAnsi="Times New Roman" w:cs="Times New Roman"/>
          <w:bCs/>
          <w:iCs/>
          <w:sz w:val="24"/>
          <w:szCs w:val="24"/>
          <w:lang w:eastAsia="ru-RU"/>
        </w:rPr>
        <w:t xml:space="preserve"> раза в неделю проводится «Продуктовая ярмарка» с привлечением </w:t>
      </w:r>
      <w:proofErr w:type="spellStart"/>
      <w:r w:rsidRPr="00E112DD">
        <w:rPr>
          <w:rFonts w:ascii="Times New Roman" w:eastAsia="Times New Roman" w:hAnsi="Times New Roman" w:cs="Times New Roman"/>
          <w:bCs/>
          <w:iCs/>
          <w:sz w:val="24"/>
          <w:szCs w:val="24"/>
          <w:lang w:eastAsia="ru-RU"/>
        </w:rPr>
        <w:t>сельхозтоваропроизводителей</w:t>
      </w:r>
      <w:proofErr w:type="spellEnd"/>
      <w:r w:rsidRPr="00E112DD">
        <w:rPr>
          <w:rFonts w:ascii="Times New Roman" w:eastAsia="Times New Roman" w:hAnsi="Times New Roman" w:cs="Times New Roman"/>
          <w:bCs/>
          <w:iCs/>
          <w:sz w:val="24"/>
          <w:szCs w:val="24"/>
          <w:lang w:eastAsia="ru-RU"/>
        </w:rPr>
        <w:t xml:space="preserve"> Тюменской, Курганской и Свердловской областей. В марте 2017 года </w:t>
      </w:r>
      <w:r w:rsidR="00E0429C">
        <w:rPr>
          <w:rFonts w:ascii="Times New Roman" w:eastAsia="Times New Roman" w:hAnsi="Times New Roman" w:cs="Times New Roman"/>
          <w:bCs/>
          <w:iCs/>
          <w:sz w:val="24"/>
          <w:szCs w:val="24"/>
          <w:lang w:eastAsia="ru-RU"/>
        </w:rPr>
        <w:t xml:space="preserve">была </w:t>
      </w:r>
      <w:r w:rsidRPr="00E112DD">
        <w:rPr>
          <w:rFonts w:ascii="Times New Roman" w:eastAsia="Times New Roman" w:hAnsi="Times New Roman" w:cs="Times New Roman"/>
          <w:bCs/>
          <w:iCs/>
          <w:sz w:val="24"/>
          <w:szCs w:val="24"/>
          <w:lang w:eastAsia="ru-RU"/>
        </w:rPr>
        <w:t xml:space="preserve">проведена ярмарка товаропроизводителей в </w:t>
      </w:r>
      <w:proofErr w:type="spellStart"/>
      <w:r w:rsidRPr="00E112DD">
        <w:rPr>
          <w:rFonts w:ascii="Times New Roman" w:eastAsia="Times New Roman" w:hAnsi="Times New Roman" w:cs="Times New Roman"/>
          <w:bCs/>
          <w:iCs/>
          <w:sz w:val="24"/>
          <w:szCs w:val="24"/>
          <w:lang w:eastAsia="ru-RU"/>
        </w:rPr>
        <w:t>с.Казым</w:t>
      </w:r>
      <w:proofErr w:type="spellEnd"/>
      <w:r w:rsidRPr="00E112DD">
        <w:rPr>
          <w:rFonts w:ascii="Times New Roman" w:eastAsia="Times New Roman" w:hAnsi="Times New Roman" w:cs="Times New Roman"/>
          <w:bCs/>
          <w:iCs/>
          <w:sz w:val="24"/>
          <w:szCs w:val="24"/>
          <w:lang w:eastAsia="ru-RU"/>
        </w:rPr>
        <w:t xml:space="preserve">. </w:t>
      </w:r>
      <w:r w:rsidR="00E0429C">
        <w:rPr>
          <w:rFonts w:ascii="Times New Roman" w:eastAsia="Times New Roman" w:hAnsi="Times New Roman" w:cs="Times New Roman"/>
          <w:bCs/>
          <w:iCs/>
          <w:sz w:val="24"/>
          <w:szCs w:val="24"/>
          <w:lang w:eastAsia="ru-RU"/>
        </w:rPr>
        <w:t>С 16 по 30 сентября проводилась</w:t>
      </w:r>
      <w:r w:rsidRPr="00E112DD">
        <w:rPr>
          <w:rFonts w:ascii="Times New Roman" w:eastAsia="Times New Roman" w:hAnsi="Times New Roman" w:cs="Times New Roman"/>
          <w:bCs/>
          <w:iCs/>
          <w:sz w:val="24"/>
          <w:szCs w:val="24"/>
          <w:lang w:eastAsia="ru-RU"/>
        </w:rPr>
        <w:t xml:space="preserve"> ярмарка «Золотая осень».</w:t>
      </w:r>
    </w:p>
    <w:p w:rsidR="00E112DD" w:rsidRPr="00E112DD" w:rsidRDefault="00E112DD" w:rsidP="00E112DD">
      <w:pPr>
        <w:spacing w:after="0" w:line="360" w:lineRule="auto"/>
        <w:ind w:firstLine="709"/>
        <w:jc w:val="both"/>
        <w:rPr>
          <w:rFonts w:ascii="Times New Roman" w:eastAsia="Times New Roman" w:hAnsi="Times New Roman" w:cs="Times New Roman"/>
          <w:bCs/>
          <w:iCs/>
          <w:sz w:val="24"/>
          <w:szCs w:val="24"/>
          <w:lang w:eastAsia="ru-RU"/>
        </w:rPr>
      </w:pPr>
      <w:r w:rsidRPr="00E112DD">
        <w:rPr>
          <w:rFonts w:ascii="Times New Roman" w:eastAsia="Times New Roman" w:hAnsi="Times New Roman" w:cs="Times New Roman"/>
          <w:bCs/>
          <w:iCs/>
          <w:sz w:val="24"/>
          <w:szCs w:val="24"/>
          <w:lang w:eastAsia="ru-RU"/>
        </w:rPr>
        <w:t>Уровень конкуренции в сфере розничной торговли в Белоярском районе является высоким, при этом существуют административные барьеры для ведения текущей деятельности (высо</w:t>
      </w:r>
      <w:r w:rsidR="00E0429C">
        <w:rPr>
          <w:rFonts w:ascii="Times New Roman" w:eastAsia="Times New Roman" w:hAnsi="Times New Roman" w:cs="Times New Roman"/>
          <w:bCs/>
          <w:iCs/>
          <w:sz w:val="24"/>
          <w:szCs w:val="24"/>
          <w:lang w:eastAsia="ru-RU"/>
        </w:rPr>
        <w:t>кие издержки вхождения на рынок;</w:t>
      </w:r>
      <w:r w:rsidRPr="00E112DD">
        <w:rPr>
          <w:rFonts w:ascii="Times New Roman" w:eastAsia="Times New Roman" w:hAnsi="Times New Roman" w:cs="Times New Roman"/>
          <w:bCs/>
          <w:iCs/>
          <w:sz w:val="24"/>
          <w:szCs w:val="24"/>
          <w:lang w:eastAsia="ru-RU"/>
        </w:rPr>
        <w:t xml:space="preserve"> высокие проценты за пользование кредитными ре</w:t>
      </w:r>
      <w:r w:rsidR="00E0429C">
        <w:rPr>
          <w:rFonts w:ascii="Times New Roman" w:eastAsia="Times New Roman" w:hAnsi="Times New Roman" w:cs="Times New Roman"/>
          <w:bCs/>
          <w:iCs/>
          <w:sz w:val="24"/>
          <w:szCs w:val="24"/>
          <w:lang w:eastAsia="ru-RU"/>
        </w:rPr>
        <w:t>сурсами;</w:t>
      </w:r>
      <w:r w:rsidRPr="00E112DD">
        <w:rPr>
          <w:rFonts w:ascii="Times New Roman" w:eastAsia="Times New Roman" w:hAnsi="Times New Roman" w:cs="Times New Roman"/>
          <w:bCs/>
          <w:iCs/>
          <w:sz w:val="24"/>
          <w:szCs w:val="24"/>
          <w:lang w:eastAsia="ru-RU"/>
        </w:rPr>
        <w:t xml:space="preserve"> изменяющееся федеральное законодательство</w:t>
      </w:r>
      <w:r w:rsidR="00E0429C">
        <w:rPr>
          <w:rFonts w:ascii="Times New Roman" w:eastAsia="Times New Roman" w:hAnsi="Times New Roman" w:cs="Times New Roman"/>
          <w:bCs/>
          <w:iCs/>
          <w:sz w:val="24"/>
          <w:szCs w:val="24"/>
          <w:lang w:eastAsia="ru-RU"/>
        </w:rPr>
        <w:t>,</w:t>
      </w:r>
      <w:r w:rsidRPr="00E112DD">
        <w:rPr>
          <w:rFonts w:ascii="Times New Roman" w:eastAsia="Times New Roman" w:hAnsi="Times New Roman" w:cs="Times New Roman"/>
          <w:bCs/>
          <w:iCs/>
          <w:sz w:val="24"/>
          <w:szCs w:val="24"/>
          <w:lang w:eastAsia="ru-RU"/>
        </w:rPr>
        <w:t xml:space="preserve"> рег</w:t>
      </w:r>
      <w:r w:rsidR="00E0429C">
        <w:rPr>
          <w:rFonts w:ascii="Times New Roman" w:eastAsia="Times New Roman" w:hAnsi="Times New Roman" w:cs="Times New Roman"/>
          <w:bCs/>
          <w:iCs/>
          <w:sz w:val="24"/>
          <w:szCs w:val="24"/>
          <w:lang w:eastAsia="ru-RU"/>
        </w:rPr>
        <w:t>улирующее потребительский рынок</w:t>
      </w:r>
      <w:r w:rsidRPr="00E112DD">
        <w:rPr>
          <w:rFonts w:ascii="Times New Roman" w:eastAsia="Times New Roman" w:hAnsi="Times New Roman" w:cs="Times New Roman"/>
          <w:bCs/>
          <w:iCs/>
          <w:sz w:val="24"/>
          <w:szCs w:val="24"/>
          <w:lang w:eastAsia="ru-RU"/>
        </w:rPr>
        <w:t xml:space="preserve">). </w:t>
      </w:r>
    </w:p>
    <w:p w:rsidR="00E112DD" w:rsidRPr="00E112DD" w:rsidRDefault="00E112DD" w:rsidP="00E112DD">
      <w:pPr>
        <w:spacing w:after="0" w:line="360" w:lineRule="auto"/>
        <w:ind w:firstLine="709"/>
        <w:jc w:val="both"/>
        <w:rPr>
          <w:rFonts w:ascii="Times New Roman" w:eastAsia="Times New Roman" w:hAnsi="Times New Roman" w:cs="Times New Roman"/>
          <w:bCs/>
          <w:iCs/>
          <w:sz w:val="24"/>
          <w:szCs w:val="24"/>
          <w:lang w:eastAsia="ru-RU"/>
        </w:rPr>
      </w:pPr>
      <w:r w:rsidRPr="00E112DD">
        <w:rPr>
          <w:rFonts w:ascii="Times New Roman" w:eastAsia="Times New Roman" w:hAnsi="Times New Roman" w:cs="Times New Roman"/>
          <w:bCs/>
          <w:iCs/>
          <w:sz w:val="24"/>
          <w:szCs w:val="24"/>
          <w:lang w:eastAsia="ru-RU"/>
        </w:rPr>
        <w:t>Вместе с тем</w:t>
      </w:r>
      <w:r w:rsidR="00FB35C2">
        <w:rPr>
          <w:rFonts w:ascii="Times New Roman" w:eastAsia="Times New Roman" w:hAnsi="Times New Roman" w:cs="Times New Roman"/>
          <w:bCs/>
          <w:iCs/>
          <w:sz w:val="24"/>
          <w:szCs w:val="24"/>
          <w:lang w:eastAsia="ru-RU"/>
        </w:rPr>
        <w:t>,</w:t>
      </w:r>
      <w:r w:rsidRPr="00E112DD">
        <w:rPr>
          <w:rFonts w:ascii="Times New Roman" w:eastAsia="Times New Roman" w:hAnsi="Times New Roman" w:cs="Times New Roman"/>
          <w:bCs/>
          <w:iCs/>
          <w:sz w:val="24"/>
          <w:szCs w:val="24"/>
          <w:lang w:eastAsia="ru-RU"/>
        </w:rPr>
        <w:t xml:space="preserve"> в полной мере</w:t>
      </w:r>
      <w:r w:rsidR="00FB35C2">
        <w:rPr>
          <w:rFonts w:ascii="Times New Roman" w:eastAsia="Times New Roman" w:hAnsi="Times New Roman" w:cs="Times New Roman"/>
          <w:bCs/>
          <w:iCs/>
          <w:sz w:val="24"/>
          <w:szCs w:val="24"/>
          <w:lang w:eastAsia="ru-RU"/>
        </w:rPr>
        <w:t>,</w:t>
      </w:r>
      <w:r w:rsidRPr="00E112DD">
        <w:rPr>
          <w:rFonts w:ascii="Times New Roman" w:eastAsia="Times New Roman" w:hAnsi="Times New Roman" w:cs="Times New Roman"/>
          <w:bCs/>
          <w:iCs/>
          <w:sz w:val="24"/>
          <w:szCs w:val="24"/>
          <w:lang w:eastAsia="ru-RU"/>
        </w:rPr>
        <w:t xml:space="preserve"> оценить состояние конкурентной среды </w:t>
      </w:r>
      <w:proofErr w:type="gramStart"/>
      <w:r w:rsidRPr="00E112DD">
        <w:rPr>
          <w:rFonts w:ascii="Times New Roman" w:eastAsia="Times New Roman" w:hAnsi="Times New Roman" w:cs="Times New Roman"/>
          <w:bCs/>
          <w:iCs/>
          <w:sz w:val="24"/>
          <w:szCs w:val="24"/>
          <w:lang w:eastAsia="ru-RU"/>
        </w:rPr>
        <w:t>в розничной торговли</w:t>
      </w:r>
      <w:proofErr w:type="gramEnd"/>
      <w:r w:rsidRPr="00E112DD">
        <w:rPr>
          <w:rFonts w:ascii="Times New Roman" w:eastAsia="Times New Roman" w:hAnsi="Times New Roman" w:cs="Times New Roman"/>
          <w:bCs/>
          <w:iCs/>
          <w:sz w:val="24"/>
          <w:szCs w:val="24"/>
          <w:lang w:eastAsia="ru-RU"/>
        </w:rPr>
        <w:t xml:space="preserve"> не пре</w:t>
      </w:r>
      <w:r>
        <w:rPr>
          <w:rFonts w:ascii="Times New Roman" w:eastAsia="Times New Roman" w:hAnsi="Times New Roman" w:cs="Times New Roman"/>
          <w:bCs/>
          <w:iCs/>
          <w:sz w:val="24"/>
          <w:szCs w:val="24"/>
          <w:lang w:eastAsia="ru-RU"/>
        </w:rPr>
        <w:t xml:space="preserve">дставляется возможным, так как </w:t>
      </w:r>
      <w:r w:rsidRPr="00E112DD">
        <w:rPr>
          <w:rFonts w:ascii="Times New Roman" w:eastAsia="Times New Roman" w:hAnsi="Times New Roman" w:cs="Times New Roman"/>
          <w:bCs/>
          <w:iCs/>
          <w:sz w:val="24"/>
          <w:szCs w:val="24"/>
          <w:lang w:eastAsia="ru-RU"/>
        </w:rPr>
        <w:t>отсутствует единая методика, позволяющая оценить состояние конкурен</w:t>
      </w:r>
      <w:r>
        <w:rPr>
          <w:rFonts w:ascii="Times New Roman" w:eastAsia="Times New Roman" w:hAnsi="Times New Roman" w:cs="Times New Roman"/>
          <w:bCs/>
          <w:iCs/>
          <w:sz w:val="24"/>
          <w:szCs w:val="24"/>
          <w:lang w:eastAsia="ru-RU"/>
        </w:rPr>
        <w:t>тной среды в розничной торговли.</w:t>
      </w:r>
    </w:p>
    <w:p w:rsidR="00E112DD" w:rsidRDefault="00E112DD" w:rsidP="00E112DD">
      <w:pPr>
        <w:spacing w:after="0" w:line="36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 целях</w:t>
      </w:r>
      <w:r w:rsidRPr="00E112DD">
        <w:rPr>
          <w:rFonts w:ascii="Times New Roman" w:eastAsia="Times New Roman" w:hAnsi="Times New Roman" w:cs="Times New Roman"/>
          <w:bCs/>
          <w:iCs/>
          <w:sz w:val="24"/>
          <w:szCs w:val="24"/>
          <w:lang w:eastAsia="ru-RU"/>
        </w:rPr>
        <w:t xml:space="preserve"> улучшении эффективности и результативности деятельности органов местного самоуправления в области </w:t>
      </w:r>
      <w:r>
        <w:rPr>
          <w:rFonts w:ascii="Times New Roman" w:eastAsia="Times New Roman" w:hAnsi="Times New Roman" w:cs="Times New Roman"/>
          <w:bCs/>
          <w:iCs/>
          <w:sz w:val="24"/>
          <w:szCs w:val="24"/>
          <w:lang w:eastAsia="ru-RU"/>
        </w:rPr>
        <w:t>содействия развитию конкуренции н</w:t>
      </w:r>
      <w:r w:rsidRPr="00E112DD">
        <w:rPr>
          <w:rFonts w:ascii="Times New Roman" w:eastAsia="Times New Roman" w:hAnsi="Times New Roman" w:cs="Times New Roman"/>
          <w:bCs/>
          <w:iCs/>
          <w:sz w:val="24"/>
          <w:szCs w:val="24"/>
          <w:lang w:eastAsia="ru-RU"/>
        </w:rPr>
        <w:t>еобходимо продолжать муниципальную политику в области реализации мер финансовой поддержки местным товаропроизводителям - сельское хозяйство, производство рыбной пищевой продукции, сбор и переработка дикоросов, прои</w:t>
      </w:r>
      <w:r>
        <w:rPr>
          <w:rFonts w:ascii="Times New Roman" w:eastAsia="Times New Roman" w:hAnsi="Times New Roman" w:cs="Times New Roman"/>
          <w:bCs/>
          <w:iCs/>
          <w:sz w:val="24"/>
          <w:szCs w:val="24"/>
          <w:lang w:eastAsia="ru-RU"/>
        </w:rPr>
        <w:t xml:space="preserve">зводство продуктов питания.    </w:t>
      </w:r>
    </w:p>
    <w:p w:rsidR="00E6395D" w:rsidRPr="00E112DD" w:rsidRDefault="00E6395D" w:rsidP="00E112DD">
      <w:pPr>
        <w:spacing w:after="0" w:line="360" w:lineRule="auto"/>
        <w:ind w:firstLine="709"/>
        <w:jc w:val="both"/>
        <w:rPr>
          <w:rFonts w:ascii="Times New Roman" w:eastAsia="Times New Roman" w:hAnsi="Times New Roman" w:cs="Times New Roman"/>
          <w:bCs/>
          <w:iCs/>
          <w:sz w:val="24"/>
          <w:szCs w:val="24"/>
          <w:lang w:eastAsia="ru-RU"/>
        </w:rPr>
      </w:pPr>
      <w:r>
        <w:rPr>
          <w:rFonts w:ascii="Times New Roman" w:hAnsi="Times New Roman" w:cs="Times New Roman"/>
          <w:sz w:val="24"/>
          <w:szCs w:val="24"/>
        </w:rPr>
        <w:t>По данным социологического исследования состояния и развития конкурентной среды на рынках товаров и услуг в автономном округе в Белоярском районе:</w:t>
      </w:r>
    </w:p>
    <w:p w:rsidR="00E6395D" w:rsidRDefault="00E6395D" w:rsidP="00E6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уровнем цен удовлетворены 6,3% опрошенных, скорее удовлетворены 62,1%;</w:t>
      </w:r>
    </w:p>
    <w:p w:rsidR="00E6395D" w:rsidRDefault="00E6395D" w:rsidP="00E6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качеством услуг розничной торговли удовлетворены 18,9% опрошенных, скорее удовлетворены 69,5%;</w:t>
      </w:r>
    </w:p>
    <w:p w:rsidR="00E6395D" w:rsidRDefault="00E6395D" w:rsidP="006B5F5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возможностью выбора удовлетворены 19% опрошенных, скорее удовлетворены 71%.</w:t>
      </w:r>
    </w:p>
    <w:p w:rsidR="006B5F5B" w:rsidRPr="006B5F5B" w:rsidRDefault="006B5F5B" w:rsidP="006B5F5B">
      <w:pPr>
        <w:spacing w:after="0" w:line="360" w:lineRule="auto"/>
        <w:ind w:firstLine="709"/>
        <w:jc w:val="both"/>
        <w:rPr>
          <w:rFonts w:ascii="Times New Roman" w:hAnsi="Times New Roman" w:cs="Times New Roman"/>
          <w:sz w:val="24"/>
          <w:szCs w:val="24"/>
        </w:rPr>
      </w:pPr>
    </w:p>
    <w:p w:rsidR="00BA2A07" w:rsidRDefault="00BA2A07" w:rsidP="00AD638E">
      <w:pPr>
        <w:spacing w:after="0" w:line="360" w:lineRule="auto"/>
        <w:rPr>
          <w:rFonts w:ascii="Times New Roman" w:hAnsi="Times New Roman" w:cs="Times New Roman"/>
          <w:b/>
          <w:sz w:val="26"/>
          <w:szCs w:val="26"/>
        </w:rPr>
      </w:pPr>
      <w:r w:rsidRPr="00EB7E02">
        <w:rPr>
          <w:rFonts w:ascii="Times New Roman" w:hAnsi="Times New Roman" w:cs="Times New Roman"/>
          <w:b/>
          <w:sz w:val="26"/>
          <w:szCs w:val="26"/>
        </w:rPr>
        <w:t>Рынок услуг связи</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xml:space="preserve">Потребность в скоростном доступе к ресурсам мировой сети с каждым годом растет и услуги широкополосного доступа в сеть Интернет являются наиболее востребованными услугами у населения </w:t>
      </w:r>
      <w:r w:rsidR="00BD150B" w:rsidRPr="00BD150B">
        <w:rPr>
          <w:rFonts w:ascii="Times New Roman" w:hAnsi="Times New Roman" w:cs="Times New Roman"/>
          <w:sz w:val="24"/>
          <w:szCs w:val="24"/>
        </w:rPr>
        <w:t>Белоярского</w:t>
      </w:r>
      <w:r w:rsidRPr="00BD150B">
        <w:rPr>
          <w:rFonts w:ascii="Times New Roman" w:hAnsi="Times New Roman" w:cs="Times New Roman"/>
          <w:sz w:val="24"/>
          <w:szCs w:val="24"/>
        </w:rPr>
        <w:t xml:space="preserve"> района.</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Исходя из этого, одним из социально значимых рынков для содействия развитию конкуренции  (или внедрению стандарта развития конкуренции) в Белоярском районе определен рынок услуг связи.</w:t>
      </w:r>
    </w:p>
    <w:p w:rsidR="00AA47A8" w:rsidRPr="00BD150B" w:rsidRDefault="00BD150B" w:rsidP="00AA47A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AA47A8" w:rsidRPr="00BD150B">
        <w:rPr>
          <w:rFonts w:ascii="Times New Roman" w:hAnsi="Times New Roman" w:cs="Times New Roman"/>
          <w:sz w:val="24"/>
          <w:szCs w:val="24"/>
        </w:rPr>
        <w:t>анный рынок является перспективной и динамично развивающейся отраслью, обладающей потенциалом долгосрочного экономического роста.</w:t>
      </w:r>
    </w:p>
    <w:p w:rsidR="00DA3453" w:rsidRDefault="00DA3453" w:rsidP="00AA47A8">
      <w:pPr>
        <w:spacing w:after="0" w:line="360" w:lineRule="auto"/>
        <w:ind w:firstLine="709"/>
        <w:jc w:val="both"/>
        <w:rPr>
          <w:rFonts w:ascii="Times New Roman" w:hAnsi="Times New Roman" w:cs="Times New Roman"/>
          <w:sz w:val="24"/>
          <w:szCs w:val="24"/>
        </w:rPr>
      </w:pPr>
      <w:r w:rsidRPr="00DA3453">
        <w:rPr>
          <w:rFonts w:ascii="Times New Roman" w:hAnsi="Times New Roman" w:cs="Times New Roman"/>
          <w:sz w:val="24"/>
          <w:szCs w:val="24"/>
        </w:rPr>
        <w:t>Население Белоярского района составляет порядка 30 тыс. человек, что соответствует примерно 10 тыс. домохозяйств, из которых 7,8 тыс. расположены непосредственно в городе. 186 домохозяйств расположены в труднодоступных и отдаленных населенных пунктах.</w:t>
      </w:r>
    </w:p>
    <w:p w:rsidR="00207022" w:rsidRDefault="00207022" w:rsidP="00AA47A8">
      <w:pPr>
        <w:spacing w:after="0" w:line="360" w:lineRule="auto"/>
        <w:ind w:firstLine="709"/>
        <w:jc w:val="both"/>
        <w:rPr>
          <w:rFonts w:ascii="Times New Roman" w:hAnsi="Times New Roman" w:cs="Times New Roman"/>
          <w:sz w:val="24"/>
          <w:szCs w:val="24"/>
        </w:rPr>
      </w:pPr>
      <w:r w:rsidRPr="00207022">
        <w:rPr>
          <w:rFonts w:ascii="Times New Roman" w:hAnsi="Times New Roman" w:cs="Times New Roman"/>
          <w:sz w:val="24"/>
          <w:szCs w:val="24"/>
        </w:rPr>
        <w:t xml:space="preserve">Развитие услуг связи в районе стало возможным благодаря построенной в 2016 году компанией ООО «Зуммер» магистральной волоконно-оптической линии связи (ВОЛС), которая прошла по территории района и позволила обеспечить широкополосным доступом в сеть Интернет жителей шести поселений: </w:t>
      </w:r>
      <w:proofErr w:type="spellStart"/>
      <w:r w:rsidRPr="00207022">
        <w:rPr>
          <w:rFonts w:ascii="Times New Roman" w:hAnsi="Times New Roman" w:cs="Times New Roman"/>
          <w:sz w:val="24"/>
          <w:szCs w:val="24"/>
        </w:rPr>
        <w:t>с.п.Сорум</w:t>
      </w:r>
      <w:proofErr w:type="spellEnd"/>
      <w:r w:rsidRPr="00207022">
        <w:rPr>
          <w:rFonts w:ascii="Times New Roman" w:hAnsi="Times New Roman" w:cs="Times New Roman"/>
          <w:sz w:val="24"/>
          <w:szCs w:val="24"/>
        </w:rPr>
        <w:t xml:space="preserve">, </w:t>
      </w:r>
      <w:proofErr w:type="spellStart"/>
      <w:r w:rsidRPr="00207022">
        <w:rPr>
          <w:rFonts w:ascii="Times New Roman" w:hAnsi="Times New Roman" w:cs="Times New Roman"/>
          <w:sz w:val="24"/>
          <w:szCs w:val="24"/>
        </w:rPr>
        <w:t>г.п.Белоряский</w:t>
      </w:r>
      <w:proofErr w:type="spellEnd"/>
      <w:r w:rsidRPr="00207022">
        <w:rPr>
          <w:rFonts w:ascii="Times New Roman" w:hAnsi="Times New Roman" w:cs="Times New Roman"/>
          <w:sz w:val="24"/>
          <w:szCs w:val="24"/>
        </w:rPr>
        <w:t xml:space="preserve">, </w:t>
      </w:r>
      <w:proofErr w:type="spellStart"/>
      <w:r w:rsidRPr="00207022">
        <w:rPr>
          <w:rFonts w:ascii="Times New Roman" w:hAnsi="Times New Roman" w:cs="Times New Roman"/>
          <w:sz w:val="24"/>
          <w:szCs w:val="24"/>
        </w:rPr>
        <w:t>с.п.Казым</w:t>
      </w:r>
      <w:proofErr w:type="spellEnd"/>
      <w:r w:rsidRPr="00207022">
        <w:rPr>
          <w:rFonts w:ascii="Times New Roman" w:hAnsi="Times New Roman" w:cs="Times New Roman"/>
          <w:sz w:val="24"/>
          <w:szCs w:val="24"/>
        </w:rPr>
        <w:t xml:space="preserve">, </w:t>
      </w:r>
      <w:proofErr w:type="spellStart"/>
      <w:r w:rsidRPr="00207022">
        <w:rPr>
          <w:rFonts w:ascii="Times New Roman" w:hAnsi="Times New Roman" w:cs="Times New Roman"/>
          <w:sz w:val="24"/>
          <w:szCs w:val="24"/>
        </w:rPr>
        <w:t>с.п.Верхнеказымский</w:t>
      </w:r>
      <w:proofErr w:type="spellEnd"/>
      <w:r w:rsidRPr="00207022">
        <w:rPr>
          <w:rFonts w:ascii="Times New Roman" w:hAnsi="Times New Roman" w:cs="Times New Roman"/>
          <w:sz w:val="24"/>
          <w:szCs w:val="24"/>
        </w:rPr>
        <w:t xml:space="preserve">, </w:t>
      </w:r>
      <w:proofErr w:type="spellStart"/>
      <w:r w:rsidRPr="00207022">
        <w:rPr>
          <w:rFonts w:ascii="Times New Roman" w:hAnsi="Times New Roman" w:cs="Times New Roman"/>
          <w:sz w:val="24"/>
          <w:szCs w:val="24"/>
        </w:rPr>
        <w:t>с.п.Сосновка</w:t>
      </w:r>
      <w:proofErr w:type="spellEnd"/>
      <w:r w:rsidRPr="00207022">
        <w:rPr>
          <w:rFonts w:ascii="Times New Roman" w:hAnsi="Times New Roman" w:cs="Times New Roman"/>
          <w:sz w:val="24"/>
          <w:szCs w:val="24"/>
        </w:rPr>
        <w:t xml:space="preserve">, </w:t>
      </w:r>
      <w:proofErr w:type="spellStart"/>
      <w:r w:rsidRPr="00207022">
        <w:rPr>
          <w:rFonts w:ascii="Times New Roman" w:hAnsi="Times New Roman" w:cs="Times New Roman"/>
          <w:sz w:val="24"/>
          <w:szCs w:val="24"/>
        </w:rPr>
        <w:t>с.п.Лыхма</w:t>
      </w:r>
      <w:proofErr w:type="spellEnd"/>
      <w:r w:rsidRPr="00207022">
        <w:rPr>
          <w:rFonts w:ascii="Times New Roman" w:hAnsi="Times New Roman" w:cs="Times New Roman"/>
          <w:sz w:val="24"/>
          <w:szCs w:val="24"/>
        </w:rPr>
        <w:t>.</w:t>
      </w:r>
    </w:p>
    <w:p w:rsidR="00207022" w:rsidRPr="00207022" w:rsidRDefault="00207022" w:rsidP="00207022">
      <w:pPr>
        <w:spacing w:after="0" w:line="360" w:lineRule="auto"/>
        <w:ind w:firstLine="709"/>
        <w:jc w:val="both"/>
        <w:rPr>
          <w:rFonts w:ascii="Times New Roman" w:hAnsi="Times New Roman" w:cs="Times New Roman"/>
          <w:sz w:val="24"/>
          <w:szCs w:val="24"/>
        </w:rPr>
      </w:pPr>
      <w:r w:rsidRPr="00207022">
        <w:rPr>
          <w:rFonts w:ascii="Times New Roman" w:hAnsi="Times New Roman" w:cs="Times New Roman"/>
          <w:sz w:val="24"/>
          <w:szCs w:val="24"/>
        </w:rPr>
        <w:t>Операторы связи стали активно использовать вновь построенную ВОЛС, поскольку себестоимость услуг передачи данных посредством оптических волокон значительно ниже, чем при использовании устаре</w:t>
      </w:r>
      <w:r>
        <w:rPr>
          <w:rFonts w:ascii="Times New Roman" w:hAnsi="Times New Roman" w:cs="Times New Roman"/>
          <w:sz w:val="24"/>
          <w:szCs w:val="24"/>
        </w:rPr>
        <w:t xml:space="preserve">вших радиорелейных технологий. </w:t>
      </w:r>
      <w:r w:rsidRPr="00207022">
        <w:rPr>
          <w:rFonts w:ascii="Times New Roman" w:hAnsi="Times New Roman" w:cs="Times New Roman"/>
          <w:sz w:val="24"/>
          <w:szCs w:val="24"/>
        </w:rPr>
        <w:t>С учетом увеличения пропускной способности магистральной линии операторы вынуждены развивать и модернизировать собственные распределительные линии внутри поселений.</w:t>
      </w:r>
    </w:p>
    <w:p w:rsidR="00207022" w:rsidRDefault="00207022" w:rsidP="00207022">
      <w:pPr>
        <w:spacing w:after="0" w:line="360" w:lineRule="auto"/>
        <w:ind w:firstLine="709"/>
        <w:jc w:val="both"/>
        <w:rPr>
          <w:rFonts w:ascii="Times New Roman" w:hAnsi="Times New Roman" w:cs="Times New Roman"/>
          <w:sz w:val="24"/>
          <w:szCs w:val="24"/>
        </w:rPr>
      </w:pPr>
      <w:r w:rsidRPr="00207022">
        <w:rPr>
          <w:rFonts w:ascii="Times New Roman" w:hAnsi="Times New Roman" w:cs="Times New Roman"/>
          <w:sz w:val="24"/>
          <w:szCs w:val="24"/>
        </w:rPr>
        <w:t>Существующие радиорелейные линии были «разгружены» и стали использоваться для резервирования каналов передачи данных и предоставления услуг мобильной связи в поселениях, оставшихся «в стороне» от магистральной ВОЛС.</w:t>
      </w:r>
    </w:p>
    <w:p w:rsidR="00AA47A8" w:rsidRPr="00BD150B" w:rsidRDefault="00AA47A8" w:rsidP="00207022">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xml:space="preserve">К настоящему времени порядка 99% населения </w:t>
      </w:r>
      <w:r w:rsidR="00BD150B" w:rsidRPr="00BD150B">
        <w:rPr>
          <w:rFonts w:ascii="Times New Roman" w:hAnsi="Times New Roman" w:cs="Times New Roman"/>
          <w:sz w:val="24"/>
          <w:szCs w:val="24"/>
        </w:rPr>
        <w:t xml:space="preserve">Белоярского </w:t>
      </w:r>
      <w:r w:rsidRPr="00BD150B">
        <w:rPr>
          <w:rFonts w:ascii="Times New Roman" w:hAnsi="Times New Roman" w:cs="Times New Roman"/>
          <w:sz w:val="24"/>
          <w:szCs w:val="24"/>
        </w:rPr>
        <w:t>района имеют возможность пользоваться услугами широкополосного доступа в сеть Интернет. При этом более чем у 88% населения района имеется возможность выбора между несколькими компаниями-провайдерами.</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Услуги связи развиваются по двум направлениям – фиксированный широкополосный доступ и мобильный широкополосный доступ. Все организации, предоставляющие услуги связи являются коммерческими. Государственные и муниципальные предприятия в данном секторе отсутствуют.</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В Белоярском районе услуги фиксированного широкополосного доступа в сеть Интернет предоставляют четыре крупных компании-провайдера, таких как: ОАО «Ростелеком», ООО «Нет Бай Нет», ОАО «МТС» и ООО «АСС».</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Компания ООО «АСС» в большей степени представлена в сельских поселениях, где в настоящее время продолжаются работы по строительству распределительных линий и подключению новых абонентов.</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Недостаточный и низк</w:t>
      </w:r>
      <w:r w:rsidR="00207022">
        <w:rPr>
          <w:rFonts w:ascii="Times New Roman" w:hAnsi="Times New Roman" w:cs="Times New Roman"/>
          <w:sz w:val="24"/>
          <w:szCs w:val="24"/>
        </w:rPr>
        <w:t>ий уровень развития конкуренции</w:t>
      </w:r>
      <w:r w:rsidRPr="00BD150B">
        <w:rPr>
          <w:rFonts w:ascii="Times New Roman" w:hAnsi="Times New Roman" w:cs="Times New Roman"/>
          <w:sz w:val="24"/>
          <w:szCs w:val="24"/>
        </w:rPr>
        <w:t xml:space="preserve"> наблюдается в отдаленных населенных пунктах с низкой численностью и плотностью населения и, как следствие, неразвитой телекоммуникационной инфраструктурой. В частности, услугами двух компаний-операторов связи не могут воспользоваться жители населенных пунктов, таких как </w:t>
      </w:r>
      <w:proofErr w:type="spellStart"/>
      <w:r w:rsidRPr="00BD150B">
        <w:rPr>
          <w:rFonts w:ascii="Times New Roman" w:hAnsi="Times New Roman" w:cs="Times New Roman"/>
          <w:sz w:val="24"/>
          <w:szCs w:val="24"/>
        </w:rPr>
        <w:t>с.п.Лыхма</w:t>
      </w:r>
      <w:proofErr w:type="spellEnd"/>
      <w:r w:rsidRPr="00BD150B">
        <w:rPr>
          <w:rFonts w:ascii="Times New Roman" w:hAnsi="Times New Roman" w:cs="Times New Roman"/>
          <w:sz w:val="24"/>
          <w:szCs w:val="24"/>
        </w:rPr>
        <w:t xml:space="preserve">, </w:t>
      </w:r>
      <w:proofErr w:type="spellStart"/>
      <w:r w:rsidRPr="00BD150B">
        <w:rPr>
          <w:rFonts w:ascii="Times New Roman" w:hAnsi="Times New Roman" w:cs="Times New Roman"/>
          <w:sz w:val="24"/>
          <w:szCs w:val="24"/>
        </w:rPr>
        <w:t>д.Нумто</w:t>
      </w:r>
      <w:proofErr w:type="spellEnd"/>
      <w:r w:rsidRPr="00BD150B">
        <w:rPr>
          <w:rFonts w:ascii="Times New Roman" w:hAnsi="Times New Roman" w:cs="Times New Roman"/>
          <w:sz w:val="24"/>
          <w:szCs w:val="24"/>
        </w:rPr>
        <w:t xml:space="preserve">, </w:t>
      </w:r>
      <w:proofErr w:type="spellStart"/>
      <w:r w:rsidRPr="00BD150B">
        <w:rPr>
          <w:rFonts w:ascii="Times New Roman" w:hAnsi="Times New Roman" w:cs="Times New Roman"/>
          <w:sz w:val="24"/>
          <w:szCs w:val="24"/>
        </w:rPr>
        <w:t>д.Пашторы</w:t>
      </w:r>
      <w:proofErr w:type="spellEnd"/>
      <w:r w:rsidRPr="00BD150B">
        <w:rPr>
          <w:rFonts w:ascii="Times New Roman" w:hAnsi="Times New Roman" w:cs="Times New Roman"/>
          <w:sz w:val="24"/>
          <w:szCs w:val="24"/>
        </w:rPr>
        <w:t xml:space="preserve">, </w:t>
      </w:r>
      <w:proofErr w:type="spellStart"/>
      <w:r w:rsidRPr="00BD150B">
        <w:rPr>
          <w:rFonts w:ascii="Times New Roman" w:hAnsi="Times New Roman" w:cs="Times New Roman"/>
          <w:sz w:val="24"/>
          <w:szCs w:val="24"/>
        </w:rPr>
        <w:t>д.Юильск</w:t>
      </w:r>
      <w:proofErr w:type="spellEnd"/>
      <w:r w:rsidRPr="00BD150B">
        <w:rPr>
          <w:rFonts w:ascii="Times New Roman" w:hAnsi="Times New Roman" w:cs="Times New Roman"/>
          <w:sz w:val="24"/>
          <w:szCs w:val="24"/>
        </w:rPr>
        <w:t xml:space="preserve">. При этом в </w:t>
      </w:r>
      <w:proofErr w:type="spellStart"/>
      <w:r w:rsidRPr="00BD150B">
        <w:rPr>
          <w:rFonts w:ascii="Times New Roman" w:hAnsi="Times New Roman" w:cs="Times New Roman"/>
          <w:sz w:val="24"/>
          <w:szCs w:val="24"/>
        </w:rPr>
        <w:t>с.п.Лыхма</w:t>
      </w:r>
      <w:proofErr w:type="spellEnd"/>
      <w:r w:rsidRPr="00BD150B">
        <w:rPr>
          <w:rFonts w:ascii="Times New Roman" w:hAnsi="Times New Roman" w:cs="Times New Roman"/>
          <w:sz w:val="24"/>
          <w:szCs w:val="24"/>
        </w:rPr>
        <w:t xml:space="preserve"> жители имеют возможность использования фиксированного широкополосного доступа на высокой скорости.</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xml:space="preserve">Альтернативу фиксированному широкополосному доступу в сеть Интернет составляет мобильный широкополосный доступ с активно развивающимися сетями «нового поколения» 3G и 4G(LTE) и увеличивающейся скоростью передачи данных. </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Стоит отметить, что на бытовом уровне, качество услуг мобильного широкополосного доступа по технологии 4G(LTE) фактически не уступает качеству фиксированной связи.</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Все присутствующие в районе операторы мобильной связи предоставляют услуги доступа в сеть Интернет, что повышает конкуренцию на рынке интернет-услуг в целом.</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Безусловными лидерами на рынке услуг мобильного широкополосного доступа в сеть Интернет в Белоярском районе являются операторы федерального уровня: ОАО «МТС», ЗАО «Теле2», группа компаний «Мотив», ОАО «МегаФон».</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Вместе с тем, в отдаленных от центра поселениях наблюдается недостаточный и низкий уровень развития конкуренции на рынке мобильного широкополосного доступа.</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Ввиду отдаленности и труднодоступности поселений компаниям требуются большие капитальные затраты на строительство сетей связи, что делает реализацию подобных проектов труднореализуемой, из-за их низкой экономической эффективности и длительных сроков окупаемости.</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xml:space="preserve">Тем не менее, операторы мобильной связи, по мере развития инфраструктуры связи «приходят» и в отдаленные труднодоступные населенные пункты. </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Барьерами, затрудняющими предпринимательскую деятельность, на рынке услуг широкополосного доступа в сеть Интернет являются:</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1. Административные барьеры:</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сложная и длительная процедура получения разрешений на ведение лицензионной деятельности хозяйствующих субъектов в Федеральной службе по надзору в сфере связи, информационных технологий и массовых коммуникаций;</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многоэтапная процедура получения разрешительных документов на строительство линейно-кабельных сооружений;</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получение разрешений на использование радиочастот через участие хозяйствующих субъектов в конкурсных процедурах;</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-сложная и длительная процедура получения разрешительных документов на строительство линейно-кабельных сооружений.</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2. Экономические барьеры:</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xml:space="preserve">- очень высокие издержки вхождения на рынок; </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высокая стоимость строительства объектов связи и эксплуатации сетей связи и сетей передачи данных;</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сложность в реализации проектов по развитию сетей передачи данных в отдаленных регионах области за счет собственных средств компаний, в виду больших капитальных вложений и низкой экономической эффективности;</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эффект масштаба (положительная экономическая эффективность и снижение затрат на единицу продукции происходит при укрупнении масштаба компании и производстве больших объемов продукции или услуг). В данном случае, эффективность ведения деятельности компанией формирует стоимость абонентской платы на услугу мобильного доступа к сети Интернет для населения.</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3. Иные барьеры:</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сложности при согласовании размещения средств связи на объектах гражданского назначения, в том числе на зданиях жилого фонда (длительная процедура получения разрешительных прав, необходимость согласования с собственниками зданий).</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В свою очередь, администрация Белоярского района активно взаимодействует c компаниями-провайдерами (или их представителями), снижая их издержки на преодоление выше названных барьеров, тем самым способствуя развитию рынка услуг связи и привлечению в район новых операторов.</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Сотрудничество осуществляется по различным направлениям, в том числе:</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оказание содействия в предоставлении разрешений и технических условий на размещение объектов инфраструктуры связи;</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ходатайство при получении технических условий операторами связи на строительство линий связи в различных государственных и коммерческих структурах;</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снижение арендной платы за размещение оборудования связи на объектах муниципальной собственности;</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содействие в компенсации затрат на реализацию инвестиционных проектов социальной направленности за счет средств автономного округа;</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 выход с предложениями на операторов связи по улучшению качества предоставляемых услуг, проведение совместных совещаний.</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Конкуренция на рынке услуг связи привела к значительному увеличению качества предоставляемых услуг и сформировала цены, приемлемые для конечных потребителей.</w:t>
      </w:r>
    </w:p>
    <w:p w:rsidR="00AA47A8" w:rsidRPr="00BD150B" w:rsidRDefault="00AA47A8" w:rsidP="00AA47A8">
      <w:pPr>
        <w:spacing w:after="0" w:line="360" w:lineRule="auto"/>
        <w:ind w:firstLine="709"/>
        <w:jc w:val="both"/>
        <w:rPr>
          <w:rFonts w:ascii="Times New Roman" w:hAnsi="Times New Roman" w:cs="Times New Roman"/>
          <w:sz w:val="24"/>
          <w:szCs w:val="24"/>
        </w:rPr>
      </w:pPr>
      <w:r w:rsidRPr="00BD150B">
        <w:rPr>
          <w:rFonts w:ascii="Times New Roman" w:hAnsi="Times New Roman" w:cs="Times New Roman"/>
          <w:sz w:val="24"/>
          <w:szCs w:val="24"/>
        </w:rPr>
        <w:t>Считаем, что проводимая муниципалитетом политика по внедрению стандартов развития конкуренции эффективна и позволяет охарактеризовать рынок услуг связи в Белоярском районе, как рынок с развитой конкуренцией.</w:t>
      </w:r>
    </w:p>
    <w:p w:rsidR="00E6395D" w:rsidRDefault="00E6395D" w:rsidP="00AD63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данным социологического исследования состояния и развития конкурентной среды на рынках товаров и услуг в автономном округе в Белоярском районе:</w:t>
      </w:r>
    </w:p>
    <w:p w:rsidR="00E6395D" w:rsidRDefault="00E6395D" w:rsidP="00E6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уровнем цен удовлетворены 8,5% опрошенных, скорее удовлетворены 73,4%;</w:t>
      </w:r>
    </w:p>
    <w:p w:rsidR="00E6395D" w:rsidRDefault="00E6395D" w:rsidP="00E6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качеством услуг </w:t>
      </w:r>
      <w:r w:rsidR="00C81BF7">
        <w:rPr>
          <w:rFonts w:ascii="Times New Roman" w:hAnsi="Times New Roman" w:cs="Times New Roman"/>
          <w:sz w:val="24"/>
          <w:szCs w:val="24"/>
        </w:rPr>
        <w:t xml:space="preserve">связи </w:t>
      </w:r>
      <w:r>
        <w:rPr>
          <w:rFonts w:ascii="Times New Roman" w:hAnsi="Times New Roman" w:cs="Times New Roman"/>
          <w:sz w:val="24"/>
          <w:szCs w:val="24"/>
        </w:rPr>
        <w:t>удовлетворены 20,8% опрошенных, скорее удовлетворены 76%</w:t>
      </w:r>
      <w:r w:rsidR="00C81BF7">
        <w:rPr>
          <w:rFonts w:ascii="Times New Roman" w:hAnsi="Times New Roman" w:cs="Times New Roman"/>
          <w:sz w:val="24"/>
          <w:szCs w:val="24"/>
        </w:rPr>
        <w:t>;</w:t>
      </w:r>
    </w:p>
    <w:p w:rsidR="00AA47A8" w:rsidRDefault="00C81BF7" w:rsidP="00BD150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возможностью выбора удовлетворены 16,5% опрошенн</w:t>
      </w:r>
      <w:r w:rsidR="00BD150B">
        <w:rPr>
          <w:rFonts w:ascii="Times New Roman" w:hAnsi="Times New Roman" w:cs="Times New Roman"/>
          <w:sz w:val="24"/>
          <w:szCs w:val="24"/>
        </w:rPr>
        <w:t>ых, скорее удовлетворены 77,6%.</w:t>
      </w:r>
    </w:p>
    <w:p w:rsidR="00BD150B" w:rsidRPr="00BD150B" w:rsidRDefault="00BD150B" w:rsidP="00BD150B">
      <w:pPr>
        <w:spacing w:after="0" w:line="360" w:lineRule="auto"/>
        <w:ind w:firstLine="709"/>
        <w:jc w:val="both"/>
        <w:rPr>
          <w:rFonts w:ascii="Times New Roman" w:hAnsi="Times New Roman" w:cs="Times New Roman"/>
          <w:sz w:val="24"/>
          <w:szCs w:val="24"/>
        </w:rPr>
      </w:pPr>
    </w:p>
    <w:p w:rsidR="00BA2A07" w:rsidRDefault="00BA2A07" w:rsidP="00A40C28">
      <w:pPr>
        <w:spacing w:after="0" w:line="360" w:lineRule="auto"/>
        <w:rPr>
          <w:rFonts w:ascii="Times New Roman" w:hAnsi="Times New Roman" w:cs="Times New Roman"/>
          <w:b/>
          <w:sz w:val="26"/>
          <w:szCs w:val="26"/>
        </w:rPr>
      </w:pPr>
      <w:r w:rsidRPr="00EB7E02">
        <w:rPr>
          <w:rFonts w:ascii="Times New Roman" w:hAnsi="Times New Roman" w:cs="Times New Roman"/>
          <w:b/>
          <w:sz w:val="26"/>
          <w:szCs w:val="26"/>
        </w:rPr>
        <w:t>Рынок услуг в сфере физической культуры и спорта</w:t>
      </w:r>
    </w:p>
    <w:p w:rsidR="00A40C28" w:rsidRP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В целях реализации плана по развитию конкуренции на рынке услуг в сфере физической культуры и спорта в 2017 году  была проведена следующая работа.</w:t>
      </w:r>
    </w:p>
    <w:p w:rsidR="00A40C28" w:rsidRPr="00A40C28" w:rsidRDefault="00730B05" w:rsidP="00A40C2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КДМ, ФК и С  от 19</w:t>
      </w:r>
      <w:r w:rsidR="00A40C28" w:rsidRPr="00A40C28">
        <w:rPr>
          <w:rFonts w:ascii="Times New Roman" w:eastAsia="Times New Roman" w:hAnsi="Times New Roman" w:cs="Times New Roman"/>
          <w:sz w:val="24"/>
          <w:szCs w:val="24"/>
          <w:lang w:eastAsia="ru-RU"/>
        </w:rPr>
        <w:t xml:space="preserve"> июля 2017 года № 17-о «Об утверждении перечня (комплекса) муниципальных услуг (работ), которые могут быть переданы на исполнение немуниципальным организациям, в том числе социально ориентированным некоммерческим организациям и Порядка оказания поддержки для социальных предпринимателей и социально ориентированных некоммерческих организаций» утвержден перечень муниципальных услуг (работ) в сфере физической культуры и спорта, которые могут быть переданы на исполнение немуниципальным организациям, в том числе социально ориентированным некоммерческим организациям, в который входит единственная муниципальная работа «Организация и проведение официальных физкультурных (физкультурно-оздоровительных) мероприятий:</w:t>
      </w:r>
    </w:p>
    <w:p w:rsidR="00A40C28" w:rsidRPr="00A40C28" w:rsidRDefault="00A40C28" w:rsidP="00A40C28">
      <w:pPr>
        <w:spacing w:after="0" w:line="360" w:lineRule="auto"/>
        <w:ind w:firstLine="708"/>
        <w:jc w:val="both"/>
        <w:rPr>
          <w:rFonts w:ascii="Times New Roman" w:eastAsia="Times New Roman" w:hAnsi="Times New Roman" w:cs="Times New Roman"/>
          <w:bCs/>
          <w:sz w:val="24"/>
          <w:szCs w:val="24"/>
          <w:lang w:eastAsia="ru-RU"/>
        </w:rPr>
      </w:pPr>
      <w:r w:rsidRPr="00A40C28">
        <w:rPr>
          <w:rFonts w:ascii="Times New Roman" w:eastAsia="Times New Roman" w:hAnsi="Times New Roman" w:cs="Times New Roman"/>
          <w:sz w:val="24"/>
          <w:szCs w:val="24"/>
          <w:lang w:eastAsia="ru-RU"/>
        </w:rPr>
        <w:t xml:space="preserve"> - </w:t>
      </w:r>
      <w:r w:rsidRPr="00A40C28">
        <w:rPr>
          <w:rFonts w:ascii="Times New Roman" w:eastAsia="Times New Roman" w:hAnsi="Times New Roman" w:cs="Times New Roman"/>
          <w:bCs/>
          <w:sz w:val="24"/>
          <w:szCs w:val="24"/>
          <w:lang w:eastAsia="ru-RU"/>
        </w:rPr>
        <w:t>организация и проведение торжественного мероприятия «Творчество. Спорт. Интеллект».</w:t>
      </w:r>
    </w:p>
    <w:p w:rsidR="00A40C28" w:rsidRPr="00A40C28" w:rsidRDefault="00A40C28" w:rsidP="00A40C28">
      <w:pPr>
        <w:spacing w:after="0" w:line="360" w:lineRule="auto"/>
        <w:ind w:firstLine="708"/>
        <w:jc w:val="both"/>
        <w:rPr>
          <w:rFonts w:ascii="Times New Roman" w:eastAsia="Times New Roman" w:hAnsi="Times New Roman" w:cs="Times New Roman"/>
          <w:sz w:val="24"/>
          <w:lang w:eastAsia="ru-RU"/>
        </w:rPr>
      </w:pPr>
      <w:r w:rsidRPr="00A40C28">
        <w:rPr>
          <w:rFonts w:ascii="Times New Roman" w:eastAsia="Times New Roman" w:hAnsi="Times New Roman" w:cs="Times New Roman"/>
          <w:sz w:val="24"/>
          <w:lang w:eastAsia="ru-RU"/>
        </w:rPr>
        <w:t xml:space="preserve">В целях сбора информации о физкультурно-спортивных организациях Белоярского района приказом КДМ, ФК и С от «27» сентября 2017 года № 24-о утвержден порядок формирования и ведения реестра поставщиков услуг в сфере физической культуры и спорта Белоярского района и его форма. Работа по сбору необходимых документов была проведена МАУ «Дворец спорта». После чего приказом КДМ, ФК и С от «10» октября 2017 года № 26-о внесены в реестр поставщиков услуг в сфере физической культуры и спорта Белоярского района сведения и присвоены регистрационные номера учетной записи 5 поставщиков (2- муниципальные, 3 - немуниципальные). </w:t>
      </w:r>
    </w:p>
    <w:p w:rsidR="00A40C28" w:rsidRPr="00A40C28" w:rsidRDefault="00A40C28" w:rsidP="00A40C28">
      <w:pPr>
        <w:spacing w:after="0" w:line="360" w:lineRule="auto"/>
        <w:ind w:firstLine="708"/>
        <w:jc w:val="both"/>
        <w:rPr>
          <w:rFonts w:ascii="Times New Roman" w:eastAsia="Times New Roman" w:hAnsi="Times New Roman" w:cs="Times New Roman"/>
          <w:sz w:val="24"/>
          <w:lang w:eastAsia="ru-RU"/>
        </w:rPr>
      </w:pPr>
      <w:r w:rsidRPr="00A40C28">
        <w:rPr>
          <w:rFonts w:ascii="Times New Roman" w:eastAsia="Times New Roman" w:hAnsi="Times New Roman" w:cs="Times New Roman"/>
          <w:sz w:val="24"/>
          <w:lang w:eastAsia="ru-RU"/>
        </w:rPr>
        <w:t>Информирование жителей Белоярского района по вопросам предоставления физкультурно-оздоровительных и спортивных услуг проводится путем размещения актуальной информации в информационно-коммуникационной сети Интернет (на сайте администрации Белоярского района и сайте МАУ «Дворец спорта»), на информационных стендах учреждений физической культуры и спорта.</w:t>
      </w:r>
    </w:p>
    <w:p w:rsidR="00A40C28" w:rsidRPr="00A40C28" w:rsidRDefault="00A40C28" w:rsidP="00A40C28">
      <w:pPr>
        <w:spacing w:after="0" w:line="360" w:lineRule="auto"/>
        <w:ind w:firstLine="708"/>
        <w:jc w:val="both"/>
        <w:rPr>
          <w:rFonts w:ascii="Times New Roman" w:eastAsia="Times New Roman" w:hAnsi="Times New Roman" w:cs="Times New Roman"/>
          <w:sz w:val="24"/>
          <w:lang w:eastAsia="ru-RU"/>
        </w:rPr>
      </w:pPr>
      <w:r w:rsidRPr="00A40C28">
        <w:rPr>
          <w:rFonts w:ascii="Times New Roman" w:eastAsia="Times New Roman" w:hAnsi="Times New Roman" w:cs="Times New Roman"/>
          <w:sz w:val="24"/>
          <w:lang w:eastAsia="ru-RU"/>
        </w:rPr>
        <w:t>Приказом МАУ «Дворец спорта» от «11» сентября 2017 года № 132-о утверждена стоимость муниципальных услуг (работ), которые могут быть переданы на исполнение немуниципальным организациям, в том числе социально ориентированным некоммерческим организациям. Проведены конкурсные процедуры и заключен договор на предоставление услуг по организации и проведению торжественного мероприятия «Творчество. Спорт. Интеллект» на сумму 334 000 рублей.</w:t>
      </w:r>
    </w:p>
    <w:p w:rsidR="00A40C28" w:rsidRPr="00A40C28" w:rsidRDefault="00A40C28" w:rsidP="00A40C28">
      <w:pPr>
        <w:spacing w:after="0" w:line="360" w:lineRule="auto"/>
        <w:ind w:firstLine="708"/>
        <w:jc w:val="both"/>
        <w:rPr>
          <w:rFonts w:ascii="Times New Roman" w:eastAsia="Times New Roman" w:hAnsi="Times New Roman" w:cs="Times New Roman"/>
          <w:sz w:val="24"/>
          <w:lang w:eastAsia="ru-RU"/>
        </w:rPr>
      </w:pPr>
      <w:r w:rsidRPr="00A40C28">
        <w:rPr>
          <w:rFonts w:ascii="Times New Roman" w:eastAsia="Times New Roman" w:hAnsi="Times New Roman" w:cs="Times New Roman"/>
          <w:sz w:val="24"/>
          <w:lang w:eastAsia="ru-RU"/>
        </w:rPr>
        <w:t>В целях создания системы мониторинга содержания и качества физкультурно-оздоровительных услуг, повышение результативности деятельности физкультурно-оздоровительных комплексов</w:t>
      </w:r>
      <w:r w:rsidRPr="00A40C28">
        <w:rPr>
          <w:rFonts w:ascii="Times New Roman" w:eastAsia="Times New Roman" w:hAnsi="Times New Roman" w:cs="Times New Roman"/>
          <w:sz w:val="24"/>
          <w:szCs w:val="24"/>
          <w:lang w:eastAsia="ru-RU"/>
        </w:rPr>
        <w:t xml:space="preserve"> </w:t>
      </w:r>
      <w:r w:rsidRPr="00A40C28">
        <w:rPr>
          <w:rFonts w:ascii="Times New Roman" w:eastAsia="Times New Roman" w:hAnsi="Times New Roman" w:cs="Times New Roman"/>
          <w:sz w:val="24"/>
          <w:lang w:eastAsia="ru-RU"/>
        </w:rPr>
        <w:t>приказом КДМ, ФК и С от «27» сентября 2017 года № 24-о утвержден мониторинг содержания и качества физкультурно-оздоровительных услуг в Белоярском районе.</w:t>
      </w:r>
    </w:p>
    <w:p w:rsidR="00A40C28" w:rsidRDefault="00A40C28" w:rsidP="00A40C28">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Целевым показателем, на достижение которого направлены мероприятия по развитию  рынка услуг в сфере физической культуры и спорта, является  доля населения, систематически занимающегося физической культурой и спортом, в общей численности населения муниципального образования. В  2017 году он  составляет  40,7%. Показатель достигнут (на основании данных по 1-ФК по состоянию на 01.01.2017; показатели собираются, обрабатываются т формируются 1 раз в год).</w:t>
      </w:r>
    </w:p>
    <w:p w:rsidR="00B70ABF" w:rsidRDefault="00B70ABF" w:rsidP="00B70AB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данным социологического исследования состояния и развития конкурентной среды на рынках товаров и услуг в автономном округе в Белоярском районе:</w:t>
      </w:r>
    </w:p>
    <w:p w:rsidR="00B70ABF" w:rsidRDefault="00B70ABF" w:rsidP="00A40C2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уровнем цен удовлетворены 5,3% опрошенных, скорее удовлетворены 73,7%;</w:t>
      </w:r>
    </w:p>
    <w:p w:rsidR="00B70ABF" w:rsidRDefault="00B70ABF" w:rsidP="00A40C2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качеством услуг в сфере физической культуры и спорта удовлетворены 11,5% опрошенных, скорее удовлетворены 77,1%;</w:t>
      </w:r>
    </w:p>
    <w:p w:rsidR="00B70ABF" w:rsidRPr="00A40C28" w:rsidRDefault="00B70ABF" w:rsidP="00A40C2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возможностью выбора удовлетворены 5,4% опрошенных, скорее удовлетворены 77,2%.</w:t>
      </w:r>
    </w:p>
    <w:p w:rsidR="00A40C28" w:rsidRPr="00A40C28" w:rsidRDefault="00A40C28" w:rsidP="00A40C28">
      <w:pPr>
        <w:spacing w:after="0" w:line="240" w:lineRule="auto"/>
        <w:ind w:firstLine="708"/>
        <w:jc w:val="both"/>
        <w:rPr>
          <w:rFonts w:ascii="Times New Roman" w:eastAsia="Times New Roman" w:hAnsi="Times New Roman" w:cs="Times New Roman"/>
          <w:sz w:val="24"/>
          <w:szCs w:val="24"/>
          <w:lang w:eastAsia="ru-RU"/>
        </w:rPr>
      </w:pPr>
    </w:p>
    <w:p w:rsidR="00A40C28" w:rsidRPr="00EB7E02" w:rsidRDefault="00730B05" w:rsidP="00730B05">
      <w:pPr>
        <w:spacing w:line="360" w:lineRule="auto"/>
        <w:jc w:val="center"/>
        <w:rPr>
          <w:rFonts w:ascii="Times New Roman" w:hAnsi="Times New Roman" w:cs="Times New Roman"/>
          <w:b/>
          <w:sz w:val="26"/>
          <w:szCs w:val="26"/>
        </w:rPr>
      </w:pPr>
      <w:r>
        <w:rPr>
          <w:rFonts w:ascii="Times New Roman" w:hAnsi="Times New Roman" w:cs="Times New Roman"/>
          <w:b/>
          <w:sz w:val="26"/>
          <w:szCs w:val="26"/>
        </w:rPr>
        <w:t>_________</w:t>
      </w:r>
    </w:p>
    <w:p w:rsidR="00BA2A07" w:rsidRPr="00725F73" w:rsidRDefault="00BA2A07" w:rsidP="00725F73">
      <w:pPr>
        <w:spacing w:line="360" w:lineRule="auto"/>
        <w:rPr>
          <w:sz w:val="24"/>
          <w:szCs w:val="24"/>
        </w:rPr>
      </w:pPr>
    </w:p>
    <w:sectPr w:rsidR="00BA2A07" w:rsidRPr="00725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3EF"/>
    <w:multiLevelType w:val="hybridMultilevel"/>
    <w:tmpl w:val="D336714A"/>
    <w:lvl w:ilvl="0" w:tplc="04190001">
      <w:start w:val="201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F23D5"/>
    <w:multiLevelType w:val="hybridMultilevel"/>
    <w:tmpl w:val="B1CA13E8"/>
    <w:lvl w:ilvl="0" w:tplc="995CFA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536D05"/>
    <w:multiLevelType w:val="hybridMultilevel"/>
    <w:tmpl w:val="9C807DCE"/>
    <w:lvl w:ilvl="0" w:tplc="8222CC7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0F14B52"/>
    <w:multiLevelType w:val="hybridMultilevel"/>
    <w:tmpl w:val="B8E4AF6E"/>
    <w:lvl w:ilvl="0" w:tplc="995CFA5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1B875E7"/>
    <w:multiLevelType w:val="hybridMultilevel"/>
    <w:tmpl w:val="3E8E4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893FD8"/>
    <w:multiLevelType w:val="hybridMultilevel"/>
    <w:tmpl w:val="0C6AB4EA"/>
    <w:lvl w:ilvl="0" w:tplc="995CFA5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C0C7496"/>
    <w:multiLevelType w:val="hybridMultilevel"/>
    <w:tmpl w:val="99E67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70"/>
    <w:rsid w:val="000E74BA"/>
    <w:rsid w:val="00167CA0"/>
    <w:rsid w:val="00207022"/>
    <w:rsid w:val="00233CCF"/>
    <w:rsid w:val="002D2C6D"/>
    <w:rsid w:val="003C687D"/>
    <w:rsid w:val="004048BE"/>
    <w:rsid w:val="005C1731"/>
    <w:rsid w:val="0061548B"/>
    <w:rsid w:val="006B5F5B"/>
    <w:rsid w:val="006F1828"/>
    <w:rsid w:val="00725F73"/>
    <w:rsid w:val="00730B05"/>
    <w:rsid w:val="0073661B"/>
    <w:rsid w:val="007917DB"/>
    <w:rsid w:val="007C3542"/>
    <w:rsid w:val="007F329E"/>
    <w:rsid w:val="00876179"/>
    <w:rsid w:val="008B4520"/>
    <w:rsid w:val="00912770"/>
    <w:rsid w:val="00914E53"/>
    <w:rsid w:val="00920F00"/>
    <w:rsid w:val="00933549"/>
    <w:rsid w:val="00990963"/>
    <w:rsid w:val="009932B1"/>
    <w:rsid w:val="009A03B6"/>
    <w:rsid w:val="009A0686"/>
    <w:rsid w:val="009A6AB5"/>
    <w:rsid w:val="009B630D"/>
    <w:rsid w:val="009C3310"/>
    <w:rsid w:val="009E401D"/>
    <w:rsid w:val="00A40C28"/>
    <w:rsid w:val="00A564D5"/>
    <w:rsid w:val="00AA47A8"/>
    <w:rsid w:val="00AD1FEC"/>
    <w:rsid w:val="00AD638E"/>
    <w:rsid w:val="00B47114"/>
    <w:rsid w:val="00B70ABF"/>
    <w:rsid w:val="00BA2A07"/>
    <w:rsid w:val="00BC3F5D"/>
    <w:rsid w:val="00BC7327"/>
    <w:rsid w:val="00BD150B"/>
    <w:rsid w:val="00BF654E"/>
    <w:rsid w:val="00C81BF7"/>
    <w:rsid w:val="00D21C3C"/>
    <w:rsid w:val="00D43EF4"/>
    <w:rsid w:val="00D46B68"/>
    <w:rsid w:val="00DA3453"/>
    <w:rsid w:val="00DA5327"/>
    <w:rsid w:val="00E0429C"/>
    <w:rsid w:val="00E112DD"/>
    <w:rsid w:val="00E27963"/>
    <w:rsid w:val="00E51782"/>
    <w:rsid w:val="00E6395D"/>
    <w:rsid w:val="00E7306F"/>
    <w:rsid w:val="00E742F2"/>
    <w:rsid w:val="00EB7E02"/>
    <w:rsid w:val="00F90FE4"/>
    <w:rsid w:val="00FB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ECC83-1E07-409A-B55A-7D4743A7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DA5327"/>
    <w:pPr>
      <w:spacing w:line="240" w:lineRule="exact"/>
    </w:pPr>
    <w:rPr>
      <w:rFonts w:ascii="Verdana" w:eastAsia="Times New Roman" w:hAnsi="Verdana" w:cs="Verdana"/>
      <w:sz w:val="20"/>
      <w:szCs w:val="20"/>
      <w:lang w:val="en-US"/>
    </w:rPr>
  </w:style>
  <w:style w:type="paragraph" w:styleId="3">
    <w:name w:val="Body Text Indent 3"/>
    <w:basedOn w:val="a"/>
    <w:link w:val="30"/>
    <w:rsid w:val="00E51782"/>
    <w:pPr>
      <w:spacing w:after="0" w:line="240" w:lineRule="auto"/>
      <w:jc w:val="center"/>
    </w:pPr>
    <w:rPr>
      <w:rFonts w:ascii="Times New Roman" w:eastAsia="Times New Roman" w:hAnsi="Times New Roman" w:cs="Times New Roman"/>
      <w:sz w:val="24"/>
      <w:szCs w:val="20"/>
      <w:lang w:val="x-none" w:eastAsia="x-none"/>
    </w:rPr>
  </w:style>
  <w:style w:type="character" w:customStyle="1" w:styleId="30">
    <w:name w:val="Основной текст с отступом 3 Знак"/>
    <w:basedOn w:val="a0"/>
    <w:link w:val="3"/>
    <w:rsid w:val="00E51782"/>
    <w:rPr>
      <w:rFonts w:ascii="Times New Roman" w:eastAsia="Times New Roman" w:hAnsi="Times New Roman" w:cs="Times New Roman"/>
      <w:sz w:val="24"/>
      <w:szCs w:val="20"/>
      <w:lang w:val="x-none" w:eastAsia="x-none"/>
    </w:rPr>
  </w:style>
  <w:style w:type="paragraph" w:styleId="a4">
    <w:name w:val="List Paragraph"/>
    <w:basedOn w:val="a"/>
    <w:uiPriority w:val="34"/>
    <w:qFormat/>
    <w:rsid w:val="00E51782"/>
    <w:pPr>
      <w:ind w:left="720"/>
      <w:contextualSpacing/>
    </w:pPr>
  </w:style>
  <w:style w:type="paragraph" w:styleId="a5">
    <w:name w:val="Balloon Text"/>
    <w:basedOn w:val="a"/>
    <w:link w:val="a6"/>
    <w:uiPriority w:val="99"/>
    <w:semiHidden/>
    <w:unhideWhenUsed/>
    <w:rsid w:val="002D2C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D2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8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edu.ru/opros-naselen" TargetMode="External"/><Relationship Id="rId5" Type="http://schemas.openxmlformats.org/officeDocument/2006/relationships/hyperlink" Target="consultantplus://offline/ref=8B0EAE4DC1E42608357C6F1FC174FDFAA79F8A5684CED26F00533E8828A634783E75B120FF8BEDAA21E02AA3rDJ3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20</Pages>
  <Words>6582</Words>
  <Characters>37524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Плетнёва Татьяна Васильевна</dc:creator>
  <cp:keywords/>
  <dc:description/>
  <cp:lastModifiedBy>Плетнёва Татьяна Васильевна</cp:lastModifiedBy>
  <cp:revision>35</cp:revision>
  <cp:lastPrinted>2017-12-05T04:53:00Z</cp:lastPrinted>
  <dcterms:created xsi:type="dcterms:W3CDTF">2017-11-28T04:19:00Z</dcterms:created>
  <dcterms:modified xsi:type="dcterms:W3CDTF">2017-12-05T05:28:00Z</dcterms:modified>
</cp:coreProperties>
</file>